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73" w:rsidRDefault="00D74673" w:rsidP="00A93652">
      <w:pPr>
        <w:tabs>
          <w:tab w:val="left" w:pos="360"/>
          <w:tab w:val="left" w:pos="540"/>
        </w:tabs>
        <w:jc w:val="center"/>
        <w:rPr>
          <w:b/>
        </w:rPr>
      </w:pPr>
      <w:r>
        <w:rPr>
          <w:b/>
        </w:rPr>
        <w:t>Előterjesztés</w:t>
      </w:r>
    </w:p>
    <w:p w:rsidR="00A93652" w:rsidRPr="00572570" w:rsidRDefault="00A93652" w:rsidP="00A93652">
      <w:pPr>
        <w:tabs>
          <w:tab w:val="left" w:pos="360"/>
          <w:tab w:val="left" w:pos="540"/>
        </w:tabs>
        <w:jc w:val="center"/>
        <w:rPr>
          <w:b/>
        </w:rPr>
      </w:pPr>
      <w:proofErr w:type="gramStart"/>
      <w:r w:rsidRPr="00572570">
        <w:rPr>
          <w:b/>
        </w:rPr>
        <w:t>a</w:t>
      </w:r>
      <w:proofErr w:type="gramEnd"/>
      <w:r w:rsidRPr="00572570">
        <w:rPr>
          <w:b/>
        </w:rPr>
        <w:t xml:space="preserve"> települési támogatásról és egyéb szociális ellátásokról szóló önkormányzati rendelet módosításához</w:t>
      </w:r>
    </w:p>
    <w:p w:rsidR="00A93652" w:rsidRDefault="00A93652" w:rsidP="00A93652">
      <w:pPr>
        <w:tabs>
          <w:tab w:val="left" w:pos="360"/>
          <w:tab w:val="left" w:pos="540"/>
        </w:tabs>
        <w:jc w:val="both"/>
      </w:pPr>
    </w:p>
    <w:p w:rsidR="00406888" w:rsidRDefault="00406888" w:rsidP="00A93652">
      <w:pPr>
        <w:tabs>
          <w:tab w:val="left" w:pos="360"/>
          <w:tab w:val="left" w:pos="540"/>
        </w:tabs>
        <w:jc w:val="both"/>
        <w:rPr>
          <w:u w:val="single"/>
        </w:rPr>
      </w:pPr>
      <w:r>
        <w:rPr>
          <w:u w:val="single"/>
        </w:rPr>
        <w:t xml:space="preserve">Előadó: </w:t>
      </w:r>
      <w:r w:rsidRPr="00406888">
        <w:t>Kissné Simon Mónika igazgatási ügyintéző</w:t>
      </w:r>
    </w:p>
    <w:p w:rsidR="00A93652" w:rsidRDefault="00406888" w:rsidP="00A93652">
      <w:pPr>
        <w:tabs>
          <w:tab w:val="left" w:pos="360"/>
          <w:tab w:val="left" w:pos="540"/>
        </w:tabs>
        <w:jc w:val="both"/>
      </w:pPr>
      <w:r>
        <w:rPr>
          <w:u w:val="single"/>
        </w:rPr>
        <w:t>Az</w:t>
      </w:r>
      <w:r w:rsidR="00A93652" w:rsidRPr="00572570">
        <w:rPr>
          <w:u w:val="single"/>
        </w:rPr>
        <w:t xml:space="preserve"> előterjesztést készítette</w:t>
      </w:r>
      <w:r w:rsidR="00A93652">
        <w:t>: Finta Brigitta szociális ügyintéző</w:t>
      </w:r>
    </w:p>
    <w:p w:rsidR="00A93652" w:rsidRDefault="00A93652" w:rsidP="00A93652">
      <w:pPr>
        <w:tabs>
          <w:tab w:val="left" w:pos="360"/>
          <w:tab w:val="left" w:pos="540"/>
        </w:tabs>
        <w:jc w:val="both"/>
      </w:pPr>
    </w:p>
    <w:p w:rsidR="00A93652" w:rsidRDefault="00A93652" w:rsidP="00A93652">
      <w:pPr>
        <w:tabs>
          <w:tab w:val="left" w:pos="360"/>
          <w:tab w:val="left" w:pos="540"/>
        </w:tabs>
        <w:jc w:val="both"/>
      </w:pPr>
    </w:p>
    <w:p w:rsidR="00A93652" w:rsidRDefault="00A93652" w:rsidP="00A93652">
      <w:pPr>
        <w:tabs>
          <w:tab w:val="left" w:pos="360"/>
          <w:tab w:val="left" w:pos="540"/>
        </w:tabs>
        <w:jc w:val="both"/>
      </w:pPr>
      <w:r>
        <w:t>Tisztelt Képviselő-testület!</w:t>
      </w:r>
    </w:p>
    <w:p w:rsidR="00A93652" w:rsidRDefault="00A93652" w:rsidP="00A93652"/>
    <w:p w:rsidR="00A93652" w:rsidRDefault="00A93652" w:rsidP="00A93652"/>
    <w:p w:rsidR="00A93652" w:rsidRDefault="00A93652" w:rsidP="00A93652">
      <w:pPr>
        <w:jc w:val="both"/>
        <w:rPr>
          <w:szCs w:val="24"/>
        </w:rPr>
      </w:pPr>
      <w:r>
        <w:t xml:space="preserve">A támogatásról és egyéb szociális ellátásokról </w:t>
      </w:r>
      <w:r w:rsidR="00480958">
        <w:rPr>
          <w:szCs w:val="24"/>
        </w:rPr>
        <w:t>a 3/2015.(II.25</w:t>
      </w:r>
      <w:r w:rsidR="00480958" w:rsidRPr="00E279E0">
        <w:rPr>
          <w:szCs w:val="24"/>
        </w:rPr>
        <w:t>.)</w:t>
      </w:r>
      <w:r w:rsidR="00480958">
        <w:rPr>
          <w:szCs w:val="24"/>
        </w:rPr>
        <w:t xml:space="preserve"> önkormányzati </w:t>
      </w:r>
      <w:r w:rsidR="00480958">
        <w:rPr>
          <w:szCs w:val="24"/>
        </w:rPr>
        <w:t>rendelet</w:t>
      </w:r>
      <w:r>
        <w:t xml:space="preserve"> (továbbiakban: Rendelet) </w:t>
      </w:r>
      <w:r w:rsidR="00480958">
        <w:t>tartalmaz hatályos rendelkezéseket</w:t>
      </w:r>
      <w:r w:rsidRPr="00E279E0">
        <w:rPr>
          <w:szCs w:val="24"/>
        </w:rPr>
        <w:t>.</w:t>
      </w:r>
    </w:p>
    <w:p w:rsidR="00AE0689" w:rsidRPr="00E831C5" w:rsidRDefault="00AE0689" w:rsidP="00AE0689">
      <w:pPr>
        <w:tabs>
          <w:tab w:val="left" w:pos="360"/>
          <w:tab w:val="left" w:pos="540"/>
        </w:tabs>
        <w:jc w:val="both"/>
      </w:pPr>
      <w:r w:rsidRPr="00E831C5">
        <w:t xml:space="preserve">Azonban a rendeletben foglalt támogatások, illetve szociális ellátások gyakorlatban történő alkalmazása során </w:t>
      </w:r>
      <w:r>
        <w:t xml:space="preserve">időnként hiányosságok merülhetnek fel, ezért </w:t>
      </w:r>
      <w:r w:rsidRPr="00E831C5">
        <w:t>szükséges a rendelet kiegészítése, módosítása.</w:t>
      </w:r>
    </w:p>
    <w:p w:rsidR="00AE0689" w:rsidRDefault="00AE0689" w:rsidP="00AE0689">
      <w:pPr>
        <w:tabs>
          <w:tab w:val="left" w:pos="360"/>
          <w:tab w:val="left" w:pos="540"/>
        </w:tabs>
        <w:contextualSpacing/>
        <w:jc w:val="both"/>
      </w:pPr>
      <w:r w:rsidRPr="00523C07">
        <w:t xml:space="preserve">A helyi rendelet </w:t>
      </w:r>
      <w:r>
        <w:t xml:space="preserve">értelmében </w:t>
      </w:r>
      <w:r w:rsidRPr="00523C07">
        <w:t>a rendszeres települési támogatás</w:t>
      </w:r>
      <w:r>
        <w:t>t, - lakásfenntartási támogatás- meg kell szüntetni</w:t>
      </w:r>
      <w:r w:rsidRPr="00523C07">
        <w:t xml:space="preserve"> a jogosult halálával, annak a hónapnak az utolsó napjával mely hónapban a halálesetet történt</w:t>
      </w:r>
      <w:r>
        <w:t>.</w:t>
      </w:r>
    </w:p>
    <w:p w:rsidR="00AE0689" w:rsidRDefault="00AE0689" w:rsidP="00AE0689">
      <w:pPr>
        <w:spacing w:after="20"/>
        <w:jc w:val="both"/>
      </w:pPr>
      <w:r>
        <w:t xml:space="preserve">A rendelet tehát a jogosultság megszűntetésének esetei között nem tartalmaz arra </w:t>
      </w:r>
      <w:r w:rsidR="005B7C6F">
        <w:t>az</w:t>
      </w:r>
      <w:r w:rsidR="00480958">
        <w:t xml:space="preserve"> esetkörre </w:t>
      </w:r>
      <w:r>
        <w:t xml:space="preserve">szabályozást, ha az ellátásra jogosult elköltözik, lakcímet változtat. </w:t>
      </w:r>
    </w:p>
    <w:p w:rsidR="00AE0689" w:rsidRDefault="00AE0689" w:rsidP="00AE0689">
      <w:pPr>
        <w:spacing w:after="20"/>
        <w:jc w:val="both"/>
      </w:pPr>
      <w:r>
        <w:t>Ezért, javasoljuk, fenti esetben az ellátást megszűntetését annak a hónapnak a napjától, mely napján az ellátásra jogosult lakcíme megszűnt.</w:t>
      </w:r>
    </w:p>
    <w:p w:rsidR="00AE0689" w:rsidRDefault="00AE0689" w:rsidP="00AE0689">
      <w:pPr>
        <w:spacing w:after="20"/>
        <w:jc w:val="both"/>
      </w:pPr>
    </w:p>
    <w:p w:rsidR="00AE0689" w:rsidRPr="00897740" w:rsidRDefault="00AE0689" w:rsidP="00AE0689">
      <w:pPr>
        <w:rPr>
          <w:b/>
          <w:szCs w:val="24"/>
          <w:u w:val="single"/>
        </w:rPr>
      </w:pPr>
      <w:r w:rsidRPr="00897740">
        <w:rPr>
          <w:b/>
          <w:u w:val="single"/>
        </w:rPr>
        <w:t>Intézményi térítési díjak felülvizsgálata:</w:t>
      </w:r>
    </w:p>
    <w:p w:rsidR="00B156CC" w:rsidRDefault="00B156CC" w:rsidP="00A93652">
      <w:pPr>
        <w:jc w:val="both"/>
        <w:rPr>
          <w:szCs w:val="24"/>
        </w:rPr>
      </w:pPr>
    </w:p>
    <w:p w:rsidR="00AE098D" w:rsidRDefault="00AE098D" w:rsidP="00AE098D">
      <w:pPr>
        <w:jc w:val="both"/>
      </w:pPr>
      <w:r>
        <w:t xml:space="preserve">A szociális igazgatásról és ellátásokról szóló 1993. évi III. </w:t>
      </w:r>
      <w:r w:rsidR="00257FFA">
        <w:t>törvény (a továbbiakban: Szt</w:t>
      </w:r>
      <w:r>
        <w:t>.) vonatkozó rendelkezései szerint a fenntartó évente egyszer köteles az intézményi térítési díjról szóló helyi rendeletét felülvizsgálni, és a térítési díjakat megállapítani.</w:t>
      </w:r>
    </w:p>
    <w:p w:rsidR="00B156CC" w:rsidRDefault="00B156CC" w:rsidP="00AE098D">
      <w:pPr>
        <w:jc w:val="both"/>
      </w:pPr>
    </w:p>
    <w:p w:rsidR="00A93652" w:rsidRDefault="00257FFA" w:rsidP="00B156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Az Szt. 115. § (1) bekezdése </w:t>
      </w:r>
      <w:r w:rsidRPr="00257FFA">
        <w:t xml:space="preserve">értelmében </w:t>
      </w:r>
      <w:r w:rsidRPr="00257FF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6472A">
        <w:rPr>
          <w:color w:val="000000"/>
          <w:szCs w:val="24"/>
          <w:shd w:val="clear" w:color="auto" w:fill="FFFFFF"/>
        </w:rPr>
        <w:t>a</w:t>
      </w:r>
      <w:r w:rsidRPr="00257FFA">
        <w:rPr>
          <w:color w:val="000000"/>
          <w:szCs w:val="24"/>
          <w:shd w:val="clear" w:color="auto" w:fill="FFFFFF"/>
        </w:rPr>
        <w:t>z intézményi</w:t>
      </w:r>
      <w:r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Pr="00257FFA">
        <w:rPr>
          <w:szCs w:val="24"/>
        </w:rPr>
        <w:t>térítési díjat</w:t>
      </w:r>
      <w:r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Pr="00257FFA">
        <w:rPr>
          <w:color w:val="000000"/>
          <w:szCs w:val="24"/>
          <w:shd w:val="clear" w:color="auto" w:fill="FFFFFF"/>
        </w:rPr>
        <w:t>a fenntartó tárgyév április 1-jéig állapítja meg. Az intézményi</w:t>
      </w:r>
      <w:r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Pr="00257FFA">
        <w:rPr>
          <w:szCs w:val="24"/>
        </w:rPr>
        <w:t xml:space="preserve">térítési díj </w:t>
      </w:r>
      <w:r w:rsidRPr="00257FFA">
        <w:rPr>
          <w:color w:val="000000"/>
          <w:szCs w:val="24"/>
          <w:shd w:val="clear" w:color="auto" w:fill="FFFFFF"/>
        </w:rPr>
        <w:t>összege nem haladhatja meg a szolgáltatási önköltséget. Az intézményi</w:t>
      </w:r>
      <w:r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Pr="00257FFA">
        <w:rPr>
          <w:szCs w:val="24"/>
        </w:rPr>
        <w:t>térítési díj</w:t>
      </w:r>
      <w:r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Pr="00257FFA">
        <w:rPr>
          <w:color w:val="000000"/>
          <w:szCs w:val="24"/>
          <w:shd w:val="clear" w:color="auto" w:fill="FFFFFF"/>
        </w:rPr>
        <w:t>év közben egy alkalommal korrigálható</w:t>
      </w:r>
      <w:r w:rsidRPr="00257F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B156CC" w:rsidRPr="00B156CC" w:rsidRDefault="00B156CC" w:rsidP="00B156CC">
      <w:pPr>
        <w:jc w:val="both"/>
        <w:rPr>
          <w:szCs w:val="24"/>
        </w:rPr>
      </w:pPr>
    </w:p>
    <w:p w:rsidR="00D82B60" w:rsidRDefault="00D82B60" w:rsidP="00D82B60">
      <w:pPr>
        <w:jc w:val="both"/>
      </w:pPr>
      <w:r>
        <w:t>A térítési díj megállapítás</w:t>
      </w:r>
      <w:r w:rsidR="00257FFA">
        <w:t>ára vonatkozó szabályokat a Szt</w:t>
      </w:r>
      <w:r>
        <w:t>. és a személyes gondoskodást nyújtó szociális ellátások térítési díjáról szóló 29/1993. (II.17.) Kormányrendel</w:t>
      </w:r>
      <w:r w:rsidR="004C6EE1">
        <w:t>et</w:t>
      </w:r>
      <w:r w:rsidR="00B156CC">
        <w:t xml:space="preserve"> (továbbiakban: Kormányrendelet)</w:t>
      </w:r>
      <w:r w:rsidR="00E6472A">
        <w:t>, valamint a Magyarország 2018</w:t>
      </w:r>
      <w:r>
        <w:t>. évi közp</w:t>
      </w:r>
      <w:r w:rsidR="00E6472A">
        <w:t>onti költségvetéséről szóló 2017</w:t>
      </w:r>
      <w:r>
        <w:t xml:space="preserve">. évi C. törvény tartalmazza. A Sztv. 115. § (1) bekezdésében foglaltak alapján az intézményi térítési díj a személyes gondoskodás körébe tartozó szociális ellátások ellenértékeként megállapított összeg (a továbbiakban: intézményi térítési díj). </w:t>
      </w:r>
    </w:p>
    <w:p w:rsidR="00B156CC" w:rsidRDefault="00B156CC" w:rsidP="00D82B60">
      <w:pPr>
        <w:jc w:val="both"/>
      </w:pPr>
    </w:p>
    <w:p w:rsidR="00B156CC" w:rsidRDefault="00B156CC" w:rsidP="00D82B60">
      <w:pPr>
        <w:jc w:val="both"/>
        <w:rPr>
          <w:color w:val="000000"/>
        </w:rPr>
      </w:pPr>
      <w:r>
        <w:rPr>
          <w:color w:val="000000"/>
        </w:rPr>
        <w:t>A Kormányrendelet 3. § (4) bekezdésére szerint „</w:t>
      </w:r>
      <w:r w:rsidRPr="00B156CC">
        <w:rPr>
          <w:color w:val="000000"/>
        </w:rPr>
        <w:t>az</w:t>
      </w:r>
      <w:r w:rsidRPr="00B156CC">
        <w:rPr>
          <w:rStyle w:val="apple-converted-space"/>
          <w:iCs/>
          <w:color w:val="000000"/>
        </w:rPr>
        <w:t> </w:t>
      </w:r>
      <w:r w:rsidRPr="00B156CC">
        <w:rPr>
          <w:iCs/>
          <w:color w:val="000000"/>
        </w:rPr>
        <w:t>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B156CC">
        <w:rPr>
          <w:iCs/>
          <w:color w:val="000000"/>
        </w:rPr>
        <w:t>-ának</w:t>
      </w:r>
      <w:proofErr w:type="spellEnd"/>
      <w:r w:rsidRPr="00B156CC">
        <w:rPr>
          <w:iCs/>
          <w:color w:val="000000"/>
        </w:rPr>
        <w:t xml:space="preserve"> megfelelő módon kerekítve kell meghatározni.</w:t>
      </w:r>
      <w:r w:rsidRPr="00B156CC">
        <w:rPr>
          <w:color w:val="000000"/>
        </w:rPr>
        <w:t>”</w:t>
      </w:r>
    </w:p>
    <w:p w:rsidR="00B156CC" w:rsidRPr="00B156CC" w:rsidRDefault="00B156CC" w:rsidP="00D82B60">
      <w:pPr>
        <w:jc w:val="both"/>
        <w:rPr>
          <w:color w:val="000000"/>
        </w:rPr>
      </w:pPr>
    </w:p>
    <w:p w:rsidR="00B156CC" w:rsidRDefault="00B156CC" w:rsidP="00D82B60">
      <w:pPr>
        <w:jc w:val="both"/>
        <w:rPr>
          <w:iCs/>
          <w:color w:val="000000"/>
        </w:rPr>
      </w:pPr>
      <w:r w:rsidRPr="00B156CC">
        <w:rPr>
          <w:iCs/>
          <w:color w:val="000000"/>
        </w:rPr>
        <w:t>2008. évi III. törvény 2. § alapján a kerekítés szabálya a következő:</w:t>
      </w:r>
    </w:p>
    <w:p w:rsidR="00B156CC" w:rsidRPr="00B156CC" w:rsidRDefault="00B156CC" w:rsidP="00D82B60">
      <w:pPr>
        <w:jc w:val="both"/>
        <w:rPr>
          <w:iCs/>
          <w:color w:val="000000"/>
        </w:rPr>
      </w:pPr>
    </w:p>
    <w:p w:rsidR="00B156CC" w:rsidRDefault="00B156CC" w:rsidP="00B156CC">
      <w:pPr>
        <w:jc w:val="both"/>
      </w:pPr>
      <w:r>
        <w:t>„0,01 forinttól 2,49 forintig végződő összegeket lefelé, a legközelebbi 0;</w:t>
      </w:r>
    </w:p>
    <w:p w:rsidR="00B156CC" w:rsidRDefault="00B156CC" w:rsidP="00B156CC">
      <w:pPr>
        <w:jc w:val="both"/>
      </w:pPr>
      <w:r>
        <w:t>b) a 2,50 forinttól 4,99 forintig végződő összegeket felfelé, a legközelebbi 5;</w:t>
      </w:r>
    </w:p>
    <w:p w:rsidR="00B156CC" w:rsidRDefault="00B156CC" w:rsidP="00B156CC">
      <w:pPr>
        <w:jc w:val="both"/>
      </w:pPr>
      <w:r>
        <w:lastRenderedPageBreak/>
        <w:t>c) az 5,01 forinttól 7,49 forintig végződő összegeket lefelé, a legközelebbi 5;</w:t>
      </w:r>
    </w:p>
    <w:p w:rsidR="00B156CC" w:rsidRDefault="00B156CC" w:rsidP="00B156CC">
      <w:pPr>
        <w:jc w:val="both"/>
      </w:pPr>
      <w:r>
        <w:t>d) a 7,50 forinttól 9,99 forintig végződő összegeket felfelé, a legközelebbi 0</w:t>
      </w:r>
    </w:p>
    <w:p w:rsidR="00B156CC" w:rsidRDefault="00B156CC" w:rsidP="00B156CC">
      <w:pPr>
        <w:jc w:val="both"/>
      </w:pPr>
      <w:proofErr w:type="gramStart"/>
      <w:r>
        <w:t>forintra</w:t>
      </w:r>
      <w:proofErr w:type="gramEnd"/>
      <w:r>
        <w:t xml:space="preserve"> végződő összegre kell kerekíteni.”</w:t>
      </w:r>
    </w:p>
    <w:p w:rsidR="00B156CC" w:rsidRDefault="00B156CC" w:rsidP="00B156CC">
      <w:pPr>
        <w:jc w:val="both"/>
      </w:pPr>
    </w:p>
    <w:p w:rsidR="00A93652" w:rsidRDefault="00D82B60" w:rsidP="00AE098D">
      <w:pPr>
        <w:jc w:val="both"/>
      </w:pPr>
      <w:r>
        <w:t xml:space="preserve">A hatályos jogszabály értelmében az intézményi térítési díj legnagyobb mértéke nem haladhatja meg a szolgáltatási önköltséget, ugyanakkor lehetőséget biztosít alacsonyabb mértékű díj megállapítására. </w:t>
      </w:r>
      <w:r w:rsidR="00AE098D">
        <w:t xml:space="preserve"> </w:t>
      </w:r>
      <w:r>
        <w:t>A két szolgá</w:t>
      </w:r>
      <w:r w:rsidR="00C27E86">
        <w:t>ltatás önköltségszámítása a 2017</w:t>
      </w:r>
      <w:r>
        <w:t xml:space="preserve">. évben igénybe vett órák alapján került felosztásra. </w:t>
      </w:r>
    </w:p>
    <w:p w:rsidR="00B156CC" w:rsidRDefault="00B156CC" w:rsidP="00AE098D">
      <w:pPr>
        <w:jc w:val="both"/>
      </w:pPr>
    </w:p>
    <w:p w:rsidR="00136EE4" w:rsidRDefault="00136EE4" w:rsidP="00136EE4">
      <w:pPr>
        <w:jc w:val="both"/>
      </w:pPr>
      <w:r>
        <w:t>Az önkölt</w:t>
      </w:r>
      <w:r w:rsidR="00C27E86">
        <w:t>ség 2017</w:t>
      </w:r>
      <w:r>
        <w:t xml:space="preserve">. évben az étkeztetés esetében </w:t>
      </w:r>
      <w:r w:rsidR="00C27E86">
        <w:t>559</w:t>
      </w:r>
      <w:r w:rsidR="00F22CBD">
        <w:t xml:space="preserve">.-Ft, </w:t>
      </w:r>
      <w:r>
        <w:t xml:space="preserve">de javasoljuk továbbra is a 490 Ft/ellátási nap meghatározását, mely összeg az Áfa-t tartalmazza. Erről elég határozatban rendelkezni. </w:t>
      </w:r>
    </w:p>
    <w:p w:rsidR="00074CDD" w:rsidRDefault="00C27E86" w:rsidP="00136EE4">
      <w:pPr>
        <w:jc w:val="both"/>
      </w:pPr>
      <w:r>
        <w:t>Az önköltség 2017</w:t>
      </w:r>
      <w:r w:rsidR="00136EE4">
        <w:t xml:space="preserve">. évben a házi segítségnyújtás esetében </w:t>
      </w:r>
      <w:r>
        <w:t>2.335</w:t>
      </w:r>
      <w:r w:rsidR="00F22CBD">
        <w:t>.-Ft,</w:t>
      </w:r>
      <w:r w:rsidR="00136EE4">
        <w:t xml:space="preserve"> ezért javasoljuk mind a szociális segítés, mind pedig a személyi gondozás intézményi térítési díját ebben az összegben meghatározni, ezért szükséges a rendelet 4. mellékletének módosítása. </w:t>
      </w:r>
    </w:p>
    <w:p w:rsidR="00136EE4" w:rsidRDefault="00136EE4" w:rsidP="00136EE4">
      <w:pPr>
        <w:tabs>
          <w:tab w:val="left" w:pos="2835"/>
        </w:tabs>
      </w:pPr>
      <w:r>
        <w:t xml:space="preserve">A helyi rendelet 9. § (4) bekezdése alapján nem kell térítési díjat fizetni a házi segítségnyújtás igénybevételéért, de az intézményi térítési díj összegét szükséges meghatározni. </w:t>
      </w:r>
    </w:p>
    <w:p w:rsidR="00136EE4" w:rsidRDefault="00136EE4" w:rsidP="00AE098D">
      <w:pPr>
        <w:jc w:val="both"/>
      </w:pPr>
    </w:p>
    <w:p w:rsidR="00470FD9" w:rsidRDefault="00470FD9" w:rsidP="00AE098D">
      <w:pPr>
        <w:jc w:val="both"/>
      </w:pPr>
      <w:r>
        <w:t>A javasolt térítési díjakat jelen rendelet melléklete tartalmazza.</w:t>
      </w:r>
    </w:p>
    <w:p w:rsidR="00470FD9" w:rsidRDefault="00470FD9" w:rsidP="00AE098D">
      <w:pPr>
        <w:jc w:val="both"/>
      </w:pPr>
    </w:p>
    <w:p w:rsidR="00BF6855" w:rsidRDefault="00BF6855" w:rsidP="00BF6855">
      <w:pPr>
        <w:jc w:val="both"/>
      </w:pPr>
      <w:r>
        <w:t>Kérem a Képviselő-testületet a rendelet-tervezet megtárgyalására és elfogadására.</w:t>
      </w:r>
    </w:p>
    <w:p w:rsidR="00A93652" w:rsidRDefault="00A93652"/>
    <w:p w:rsidR="00BF6855" w:rsidRDefault="00BF6855"/>
    <w:p w:rsidR="00BF6855" w:rsidRDefault="000924C0">
      <w:r>
        <w:t>Nick</w:t>
      </w:r>
      <w:r w:rsidR="00A94024">
        <w:t>, 2018. március 20</w:t>
      </w:r>
      <w:r w:rsidR="00C27E86">
        <w:t>.</w:t>
      </w:r>
    </w:p>
    <w:p w:rsidR="00BF6855" w:rsidRDefault="00BF6855"/>
    <w:p w:rsidR="00BF6855" w:rsidRDefault="00BF6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Finta Brigitta </w:t>
      </w:r>
      <w:proofErr w:type="spellStart"/>
      <w:r>
        <w:t>sk</w:t>
      </w:r>
      <w:proofErr w:type="spellEnd"/>
      <w:r>
        <w:t>.</w:t>
      </w:r>
    </w:p>
    <w:p w:rsidR="00BF6855" w:rsidRDefault="00BF6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szociális</w:t>
      </w:r>
      <w:proofErr w:type="gramEnd"/>
      <w:r>
        <w:t xml:space="preserve"> ügyintéző</w:t>
      </w:r>
    </w:p>
    <w:p w:rsidR="00074CDD" w:rsidRDefault="00074CDD" w:rsidP="00136EE4">
      <w:pPr>
        <w:rPr>
          <w:b/>
          <w:u w:val="single"/>
        </w:rPr>
      </w:pPr>
    </w:p>
    <w:p w:rsidR="00136EE4" w:rsidRDefault="00136EE4" w:rsidP="00136EE4">
      <w:pPr>
        <w:rPr>
          <w:b/>
          <w:u w:val="single"/>
        </w:rPr>
      </w:pPr>
      <w:r w:rsidRPr="00C40CC3">
        <w:rPr>
          <w:b/>
          <w:u w:val="single"/>
        </w:rPr>
        <w:t>Határozati javaslat</w:t>
      </w:r>
    </w:p>
    <w:p w:rsidR="00136EE4" w:rsidRPr="00C40CC3" w:rsidRDefault="00136EE4" w:rsidP="00136EE4">
      <w:pPr>
        <w:rPr>
          <w:b/>
          <w:u w:val="single"/>
        </w:rPr>
      </w:pPr>
    </w:p>
    <w:p w:rsidR="00136EE4" w:rsidRDefault="00136EE4" w:rsidP="00136EE4">
      <w:pPr>
        <w:jc w:val="both"/>
      </w:pPr>
      <w:r>
        <w:t xml:space="preserve">Nick község Önkormányzatának Képviselő-testülete megvizsgálta az étkeztetés intézményi térítési díját. A felülvizsgálat eredményeképpen a Képviselő-testület úgy dönt, hogy nem emeli az étkeztetés intézményi térítési díját, </w:t>
      </w:r>
      <w:r w:rsidRPr="00C40CC3">
        <w:t>a</w:t>
      </w:r>
      <w:r>
        <w:t xml:space="preserve">zt továbbra is 490 Ft/ellátási nap összegben határozza meg, mely összeg a mindenkori Áfa összegét tartalmazza. </w:t>
      </w:r>
    </w:p>
    <w:p w:rsidR="00136EE4" w:rsidRDefault="00136EE4" w:rsidP="00136EE4">
      <w:pPr>
        <w:jc w:val="both"/>
        <w:rPr>
          <w:u w:val="single"/>
        </w:rPr>
      </w:pPr>
    </w:p>
    <w:p w:rsidR="00136EE4" w:rsidRPr="00FE4B8C" w:rsidRDefault="00136EE4" w:rsidP="00136EE4">
      <w:r w:rsidRPr="005C1A3D">
        <w:t>Határidő:</w:t>
      </w:r>
      <w:r w:rsidRPr="00FE4B8C">
        <w:t xml:space="preserve"> </w:t>
      </w:r>
      <w:r>
        <w:t>azonnal</w:t>
      </w:r>
    </w:p>
    <w:p w:rsidR="00136EE4" w:rsidRDefault="00136EE4" w:rsidP="00136EE4">
      <w:r w:rsidRPr="005C1A3D">
        <w:t>Felelős:</w:t>
      </w:r>
      <w:r>
        <w:t xml:space="preserve"> Csorba József polgármester</w:t>
      </w:r>
    </w:p>
    <w:p w:rsidR="00A93652" w:rsidRDefault="00A93652"/>
    <w:p w:rsidR="00A93652" w:rsidRDefault="00A93652"/>
    <w:p w:rsidR="004C6EE1" w:rsidRDefault="004C6EE1"/>
    <w:p w:rsidR="004C6EE1" w:rsidRDefault="004C6EE1"/>
    <w:p w:rsidR="004C6EE1" w:rsidRDefault="004C6EE1"/>
    <w:p w:rsidR="004C6EE1" w:rsidRDefault="004C6EE1"/>
    <w:p w:rsidR="004C6EE1" w:rsidRDefault="004C6EE1"/>
    <w:p w:rsidR="004C6EE1" w:rsidRDefault="004C6EE1"/>
    <w:p w:rsidR="004C6EE1" w:rsidRDefault="004C6EE1"/>
    <w:p w:rsidR="004C6EE1" w:rsidRDefault="004C6EE1"/>
    <w:p w:rsidR="004C6EE1" w:rsidRDefault="004C6EE1"/>
    <w:p w:rsidR="004C6EE1" w:rsidRDefault="004C6EE1"/>
    <w:p w:rsidR="00B156CC" w:rsidRDefault="00B156CC" w:rsidP="00A93652">
      <w:pPr>
        <w:jc w:val="center"/>
      </w:pPr>
    </w:p>
    <w:p w:rsidR="00A93652" w:rsidRDefault="00A93652" w:rsidP="00A93652">
      <w:pPr>
        <w:jc w:val="center"/>
        <w:rPr>
          <w:b/>
        </w:rPr>
      </w:pPr>
      <w:r>
        <w:rPr>
          <w:b/>
        </w:rPr>
        <w:lastRenderedPageBreak/>
        <w:t>ELŐZETES HATÁSVIZSGÁLAT</w:t>
      </w:r>
    </w:p>
    <w:p w:rsidR="00A93652" w:rsidRDefault="00A93652" w:rsidP="00A93652">
      <w:pPr>
        <w:jc w:val="center"/>
        <w:rPr>
          <w:b/>
          <w:sz w:val="22"/>
          <w:szCs w:val="22"/>
        </w:rPr>
      </w:pPr>
    </w:p>
    <w:p w:rsidR="00A93652" w:rsidRDefault="00A93652" w:rsidP="00A93652">
      <w:pPr>
        <w:jc w:val="both"/>
      </w:pPr>
      <w:r>
        <w:rPr>
          <w:bCs/>
        </w:rPr>
        <w:t xml:space="preserve">A jogalkotásról szóló 2010. évi CXXX. tv. </w:t>
      </w:r>
      <w:r>
        <w:t>17. § (1) bekezdése alapján a jogszabály előkészítője – a jogszabály feltételezett hatásaihoz igazodó részletességű – előzetes hatásvizsgálat elvégzésével felméri a szabályozás várható következményeit. Az előzetes hatásvizsgálat eredményéről a testületet tájékoztatni kell.</w:t>
      </w:r>
    </w:p>
    <w:p w:rsidR="00A93652" w:rsidRDefault="00A93652" w:rsidP="00A93652">
      <w:pPr>
        <w:jc w:val="both"/>
      </w:pPr>
      <w:r>
        <w:t>A törvény 17. § (2) bekezdése szerint a hatásvizsgálat során vizsgálni kell:</w:t>
      </w:r>
    </w:p>
    <w:p w:rsidR="00A93652" w:rsidRDefault="00A93652" w:rsidP="00A93652">
      <w:pPr>
        <w:ind w:firstLine="204"/>
        <w:jc w:val="both"/>
      </w:pPr>
      <w:proofErr w:type="gramStart"/>
      <w:r>
        <w:rPr>
          <w:iCs/>
        </w:rPr>
        <w:t>a</w:t>
      </w:r>
      <w:proofErr w:type="gramEnd"/>
      <w:r>
        <w:rPr>
          <w:iCs/>
        </w:rPr>
        <w:t xml:space="preserve">) </w:t>
      </w:r>
      <w:r>
        <w:t>a tervezett jogszabály valamennyi jelentősnek ítélt hatását, különösen</w:t>
      </w:r>
    </w:p>
    <w:p w:rsidR="00A93652" w:rsidRDefault="00A93652" w:rsidP="00A93652">
      <w:pPr>
        <w:ind w:firstLine="708"/>
        <w:jc w:val="both"/>
      </w:pPr>
      <w:proofErr w:type="spellStart"/>
      <w:r>
        <w:rPr>
          <w:iCs/>
        </w:rPr>
        <w:t>aa</w:t>
      </w:r>
      <w:proofErr w:type="spellEnd"/>
      <w:r>
        <w:rPr>
          <w:iCs/>
        </w:rPr>
        <w:t xml:space="preserve">) </w:t>
      </w:r>
      <w:r>
        <w:t>társadalmi, gazdasági, költségvetési hatásait,</w:t>
      </w:r>
    </w:p>
    <w:p w:rsidR="00A93652" w:rsidRDefault="00A93652" w:rsidP="00A93652">
      <w:pPr>
        <w:ind w:firstLine="708"/>
        <w:jc w:val="both"/>
      </w:pPr>
      <w:proofErr w:type="gramStart"/>
      <w:r>
        <w:rPr>
          <w:iCs/>
        </w:rPr>
        <w:t>ab</w:t>
      </w:r>
      <w:proofErr w:type="gramEnd"/>
      <w:r>
        <w:rPr>
          <w:iCs/>
        </w:rPr>
        <w:t xml:space="preserve">) </w:t>
      </w:r>
      <w:r>
        <w:t>környezeti és egészségi következményeit,</w:t>
      </w:r>
    </w:p>
    <w:p w:rsidR="00A93652" w:rsidRDefault="00A93652" w:rsidP="00A93652">
      <w:pPr>
        <w:ind w:firstLine="708"/>
        <w:jc w:val="both"/>
      </w:pPr>
      <w:proofErr w:type="spellStart"/>
      <w:r>
        <w:rPr>
          <w:iCs/>
        </w:rPr>
        <w:t>ac</w:t>
      </w:r>
      <w:proofErr w:type="spellEnd"/>
      <w:r>
        <w:rPr>
          <w:iCs/>
        </w:rPr>
        <w:t xml:space="preserve">) </w:t>
      </w:r>
      <w:r>
        <w:t>adminisztratív terheket befolyásoló hatásait, valamint</w:t>
      </w:r>
    </w:p>
    <w:p w:rsidR="00A93652" w:rsidRDefault="00A93652" w:rsidP="00A93652">
      <w:pPr>
        <w:ind w:left="204"/>
        <w:jc w:val="both"/>
      </w:pPr>
      <w:r>
        <w:rPr>
          <w:iCs/>
        </w:rPr>
        <w:t xml:space="preserve">b) </w:t>
      </w:r>
      <w:r>
        <w:t>a jogszabály megalkotásának szükségességét, a jogalkotás elmaradásának várható következményeit, és</w:t>
      </w:r>
    </w:p>
    <w:p w:rsidR="00A93652" w:rsidRDefault="00A93652" w:rsidP="00A93652">
      <w:pPr>
        <w:ind w:left="204"/>
        <w:jc w:val="both"/>
      </w:pPr>
      <w:r>
        <w:rPr>
          <w:iCs/>
        </w:rPr>
        <w:t xml:space="preserve">c) </w:t>
      </w:r>
      <w:r>
        <w:t>a jogszabály alkalmazásához szükséges személyi, szervezeti, tárgyi és pénzügyi feltételeket.</w:t>
      </w:r>
    </w:p>
    <w:p w:rsidR="00A93652" w:rsidRPr="002140EE" w:rsidRDefault="00A93652" w:rsidP="00A93652">
      <w:pPr>
        <w:jc w:val="both"/>
      </w:pPr>
      <w:r>
        <w:t xml:space="preserve">A fentiek alapján a rendelet módosításának várható következményeiről – az előzetes </w:t>
      </w:r>
      <w:r w:rsidRPr="002140EE">
        <w:t>hatásvizsgálat tükrében – az alábbi tájékoztatást adom:</w:t>
      </w:r>
    </w:p>
    <w:p w:rsidR="00A93652" w:rsidRPr="002140EE" w:rsidRDefault="00A93652" w:rsidP="00A93652">
      <w:pPr>
        <w:jc w:val="both"/>
        <w:rPr>
          <w:iCs/>
        </w:rPr>
      </w:pPr>
      <w:r>
        <w:rPr>
          <w:iCs/>
        </w:rPr>
        <w:t>1</w:t>
      </w:r>
      <w:r w:rsidRPr="002140EE">
        <w:rPr>
          <w:iCs/>
        </w:rPr>
        <w:t>.</w:t>
      </w:r>
      <w:r w:rsidRPr="002140EE">
        <w:rPr>
          <w:iCs/>
        </w:rPr>
        <w:tab/>
        <w:t>A szabályozás várható következményei:</w:t>
      </w:r>
    </w:p>
    <w:p w:rsidR="00A93652" w:rsidRPr="002140EE" w:rsidRDefault="00A93652" w:rsidP="00A93652">
      <w:pPr>
        <w:tabs>
          <w:tab w:val="left" w:pos="993"/>
        </w:tabs>
        <w:ind w:left="993" w:hanging="426"/>
        <w:jc w:val="both"/>
        <w:rPr>
          <w:iCs/>
        </w:rPr>
      </w:pPr>
      <w:proofErr w:type="gramStart"/>
      <w:r w:rsidRPr="002140EE">
        <w:rPr>
          <w:iCs/>
        </w:rPr>
        <w:t>a</w:t>
      </w:r>
      <w:proofErr w:type="gramEnd"/>
      <w:r w:rsidRPr="002140EE">
        <w:rPr>
          <w:iCs/>
        </w:rPr>
        <w:t>)</w:t>
      </w:r>
      <w:r w:rsidRPr="002140EE">
        <w:rPr>
          <w:iCs/>
        </w:rPr>
        <w:tab/>
        <w:t>társadalmi, gazdasági, köl</w:t>
      </w:r>
      <w:r w:rsidR="00470FD9">
        <w:rPr>
          <w:iCs/>
        </w:rPr>
        <w:t xml:space="preserve">tségvetési hatásai: </w:t>
      </w:r>
      <w:r w:rsidR="00470FD9">
        <w:t>a Szt. vonatkozó rendelkezései szerint a fenntartó évente egyszer köteles az intézményi térítési díjról szóló helyi rendeletét felülvizsgálni, és a térítési díjakat megállapítani. A térítési díjak alakul</w:t>
      </w:r>
      <w:r w:rsidR="00AB1723">
        <w:t xml:space="preserve">ása befolyásolja </w:t>
      </w:r>
      <w:r w:rsidR="00470FD9">
        <w:t>az önkormányzati költségvetés bevételeinek és kiadásainak alakulását.</w:t>
      </w:r>
    </w:p>
    <w:p w:rsidR="00A93652" w:rsidRPr="002140EE" w:rsidRDefault="00A93652" w:rsidP="00A93652">
      <w:pPr>
        <w:tabs>
          <w:tab w:val="left" w:pos="993"/>
        </w:tabs>
        <w:ind w:left="993" w:hanging="426"/>
        <w:jc w:val="both"/>
        <w:rPr>
          <w:iCs/>
        </w:rPr>
      </w:pPr>
      <w:r w:rsidRPr="002140EE">
        <w:rPr>
          <w:iCs/>
        </w:rPr>
        <w:t>b)</w:t>
      </w:r>
      <w:r w:rsidRPr="002140EE">
        <w:rPr>
          <w:iCs/>
        </w:rPr>
        <w:tab/>
        <w:t>környezeti és</w:t>
      </w:r>
      <w:r>
        <w:rPr>
          <w:iCs/>
        </w:rPr>
        <w:t xml:space="preserve"> egészségi következményei: nem jelentős.</w:t>
      </w:r>
    </w:p>
    <w:p w:rsidR="00A93652" w:rsidRDefault="00A93652" w:rsidP="00A93652">
      <w:pPr>
        <w:tabs>
          <w:tab w:val="left" w:pos="993"/>
        </w:tabs>
        <w:ind w:left="993" w:hanging="426"/>
        <w:jc w:val="both"/>
        <w:rPr>
          <w:iCs/>
        </w:rPr>
      </w:pPr>
      <w:r w:rsidRPr="002140EE">
        <w:rPr>
          <w:iCs/>
        </w:rPr>
        <w:t>c)</w:t>
      </w:r>
      <w:r w:rsidRPr="002140EE">
        <w:rPr>
          <w:iCs/>
        </w:rPr>
        <w:tab/>
        <w:t xml:space="preserve">adminisztratív terheket befolyásoló hatások: nem jelentős, a rendelet-módosítást a Kormányhivatal felé jelezni kell. </w:t>
      </w:r>
    </w:p>
    <w:p w:rsidR="00A93652" w:rsidRPr="002140EE" w:rsidRDefault="00A93652" w:rsidP="00A93652">
      <w:pPr>
        <w:jc w:val="both"/>
        <w:rPr>
          <w:iCs/>
        </w:rPr>
      </w:pPr>
      <w:r>
        <w:rPr>
          <w:iCs/>
        </w:rPr>
        <w:t>2</w:t>
      </w:r>
      <w:r w:rsidRPr="002140EE">
        <w:rPr>
          <w:iCs/>
        </w:rPr>
        <w:t>.</w:t>
      </w:r>
      <w:r w:rsidRPr="002140EE">
        <w:rPr>
          <w:iCs/>
        </w:rPr>
        <w:tab/>
        <w:t>Jogszabály megalkotásának szükségessége</w:t>
      </w:r>
      <w:r w:rsidR="00470FD9">
        <w:t xml:space="preserve">: Az Szt. 115. § (1) bekezdése </w:t>
      </w:r>
      <w:r w:rsidR="00470FD9" w:rsidRPr="00257FFA">
        <w:t xml:space="preserve">értelmében </w:t>
      </w:r>
      <w:r w:rsidR="00470FD9" w:rsidRPr="00257FF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70FD9" w:rsidRPr="00257FFA">
        <w:rPr>
          <w:color w:val="000000"/>
          <w:szCs w:val="24"/>
          <w:shd w:val="clear" w:color="auto" w:fill="FFFFFF"/>
        </w:rPr>
        <w:t>Az intézményi</w:t>
      </w:r>
      <w:r w:rsidR="00470FD9"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="00470FD9" w:rsidRPr="00257FFA">
        <w:rPr>
          <w:szCs w:val="24"/>
        </w:rPr>
        <w:t>térítési díjat</w:t>
      </w:r>
      <w:r w:rsidR="00470FD9" w:rsidRPr="00257FFA">
        <w:rPr>
          <w:rStyle w:val="apple-converted-space"/>
          <w:color w:val="000000"/>
          <w:szCs w:val="24"/>
          <w:shd w:val="clear" w:color="auto" w:fill="FFFFFF"/>
        </w:rPr>
        <w:t> </w:t>
      </w:r>
      <w:r w:rsidR="00470FD9" w:rsidRPr="00257FFA">
        <w:rPr>
          <w:color w:val="000000"/>
          <w:szCs w:val="24"/>
          <w:shd w:val="clear" w:color="auto" w:fill="FFFFFF"/>
        </w:rPr>
        <w:t xml:space="preserve">a fenntartó tárgyév </w:t>
      </w:r>
      <w:r w:rsidR="00470FD9">
        <w:rPr>
          <w:color w:val="000000"/>
          <w:szCs w:val="24"/>
          <w:shd w:val="clear" w:color="auto" w:fill="FFFFFF"/>
        </w:rPr>
        <w:t xml:space="preserve">április 1-jéig állapítja meg. </w:t>
      </w:r>
    </w:p>
    <w:p w:rsidR="00A93652" w:rsidRPr="002140EE" w:rsidRDefault="00A93652" w:rsidP="00A93652">
      <w:pPr>
        <w:ind w:left="708"/>
        <w:jc w:val="both"/>
      </w:pPr>
    </w:p>
    <w:p w:rsidR="00A93652" w:rsidRPr="002140EE" w:rsidRDefault="00A93652" w:rsidP="00A93652">
      <w:pPr>
        <w:ind w:left="567" w:hanging="567"/>
        <w:jc w:val="both"/>
        <w:rPr>
          <w:iCs/>
        </w:rPr>
      </w:pPr>
      <w:r w:rsidRPr="002140EE">
        <w:rPr>
          <w:iCs/>
        </w:rPr>
        <w:t>3.</w:t>
      </w:r>
      <w:r w:rsidRPr="002140EE">
        <w:rPr>
          <w:iCs/>
        </w:rPr>
        <w:tab/>
        <w:t>Jogszabály alkalmazásához szükséges személyi, szervezeti, tárgyi és pénzügyi feltételek:</w:t>
      </w:r>
    </w:p>
    <w:p w:rsidR="00A93652" w:rsidRPr="002140EE" w:rsidRDefault="00A93652" w:rsidP="00A93652">
      <w:pPr>
        <w:tabs>
          <w:tab w:val="left" w:pos="567"/>
        </w:tabs>
        <w:ind w:left="567"/>
        <w:jc w:val="both"/>
        <w:rPr>
          <w:iCs/>
        </w:rPr>
      </w:pPr>
      <w:r w:rsidRPr="002140EE">
        <w:rPr>
          <w:iCs/>
        </w:rPr>
        <w:t xml:space="preserve">Személyi feltételek: </w:t>
      </w:r>
      <w:r w:rsidRPr="002140EE">
        <w:rPr>
          <w:iCs/>
        </w:rPr>
        <w:tab/>
        <w:t xml:space="preserve">többletet nem igényel </w:t>
      </w:r>
    </w:p>
    <w:p w:rsidR="00A93652" w:rsidRPr="002140EE" w:rsidRDefault="00A93652" w:rsidP="00A93652">
      <w:pPr>
        <w:tabs>
          <w:tab w:val="left" w:pos="567"/>
        </w:tabs>
        <w:ind w:left="567"/>
        <w:jc w:val="both"/>
        <w:rPr>
          <w:iCs/>
        </w:rPr>
      </w:pPr>
      <w:r w:rsidRPr="002140EE">
        <w:rPr>
          <w:iCs/>
        </w:rPr>
        <w:t xml:space="preserve">Szervezeti feltételek: </w:t>
      </w:r>
      <w:r w:rsidRPr="002140EE">
        <w:rPr>
          <w:iCs/>
        </w:rPr>
        <w:tab/>
        <w:t>változtatást nem igényel</w:t>
      </w:r>
    </w:p>
    <w:p w:rsidR="00A93652" w:rsidRPr="002140EE" w:rsidRDefault="00A93652" w:rsidP="00A93652">
      <w:pPr>
        <w:tabs>
          <w:tab w:val="left" w:pos="2835"/>
        </w:tabs>
        <w:ind w:left="2835" w:hanging="2268"/>
        <w:jc w:val="both"/>
        <w:rPr>
          <w:iCs/>
        </w:rPr>
      </w:pPr>
      <w:r w:rsidRPr="002140EE">
        <w:rPr>
          <w:iCs/>
        </w:rPr>
        <w:t xml:space="preserve">Tárgyi feltételek: </w:t>
      </w:r>
      <w:r w:rsidRPr="002140EE">
        <w:rPr>
          <w:iCs/>
        </w:rPr>
        <w:tab/>
        <w:t xml:space="preserve">változtatást nem igényel </w:t>
      </w:r>
    </w:p>
    <w:p w:rsidR="00A93652" w:rsidRDefault="00A93652" w:rsidP="00A93652">
      <w:pPr>
        <w:rPr>
          <w:b/>
        </w:rPr>
      </w:pPr>
      <w:r>
        <w:rPr>
          <w:iCs/>
        </w:rPr>
        <w:t xml:space="preserve">        </w:t>
      </w:r>
      <w:r w:rsidRPr="002140EE">
        <w:rPr>
          <w:iCs/>
        </w:rPr>
        <w:t>Pénzügyi feltételek:</w:t>
      </w:r>
      <w:r>
        <w:rPr>
          <w:iCs/>
        </w:rPr>
        <w:t xml:space="preserve"> </w:t>
      </w:r>
      <w:r>
        <w:rPr>
          <w:iCs/>
        </w:rPr>
        <w:tab/>
      </w:r>
      <w:r w:rsidRPr="002140EE">
        <w:rPr>
          <w:iCs/>
        </w:rPr>
        <w:t>változtatást nem igényel</w:t>
      </w:r>
      <w:r>
        <w:rPr>
          <w:b/>
        </w:rPr>
        <w:t xml:space="preserve"> </w:t>
      </w:r>
    </w:p>
    <w:p w:rsidR="00A93652" w:rsidRDefault="00A93652" w:rsidP="00A93652">
      <w:pPr>
        <w:jc w:val="center"/>
        <w:rPr>
          <w:b/>
        </w:rPr>
      </w:pPr>
    </w:p>
    <w:p w:rsidR="00A93652" w:rsidRDefault="00A93652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4C6EE1" w:rsidRDefault="004C6EE1" w:rsidP="00A93652">
      <w:pPr>
        <w:jc w:val="center"/>
        <w:rPr>
          <w:b/>
        </w:rPr>
      </w:pPr>
    </w:p>
    <w:p w:rsidR="00A93652" w:rsidRDefault="00A93652" w:rsidP="00A93652">
      <w:pPr>
        <w:jc w:val="center"/>
        <w:rPr>
          <w:b/>
        </w:rPr>
      </w:pPr>
    </w:p>
    <w:p w:rsidR="00A93652" w:rsidRDefault="00A93652" w:rsidP="00A93652">
      <w:pPr>
        <w:jc w:val="center"/>
        <w:rPr>
          <w:b/>
        </w:rPr>
      </w:pPr>
    </w:p>
    <w:p w:rsidR="00A93652" w:rsidRPr="001B1A52" w:rsidRDefault="000924C0" w:rsidP="00A93652">
      <w:pPr>
        <w:jc w:val="center"/>
        <w:rPr>
          <w:b/>
        </w:rPr>
      </w:pPr>
      <w:r>
        <w:rPr>
          <w:b/>
        </w:rPr>
        <w:lastRenderedPageBreak/>
        <w:t>Nick</w:t>
      </w:r>
      <w:r w:rsidR="00A93652">
        <w:rPr>
          <w:b/>
        </w:rPr>
        <w:t xml:space="preserve"> Község</w:t>
      </w:r>
      <w:r w:rsidR="00A93652" w:rsidRPr="001B1A52">
        <w:rPr>
          <w:b/>
        </w:rPr>
        <w:t xml:space="preserve"> Önkormányzata Képviselő-testületének</w:t>
      </w:r>
    </w:p>
    <w:p w:rsidR="00A93652" w:rsidRDefault="00C27E86" w:rsidP="00A93652">
      <w:pPr>
        <w:jc w:val="center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…….</w:t>
      </w:r>
      <w:proofErr w:type="gramEnd"/>
      <w:r>
        <w:rPr>
          <w:b/>
        </w:rPr>
        <w:t>/2018</w:t>
      </w:r>
      <w:r w:rsidR="00A93652">
        <w:rPr>
          <w:b/>
        </w:rPr>
        <w:t xml:space="preserve">.(……….) önkormányzati rendelete  </w:t>
      </w:r>
    </w:p>
    <w:p w:rsidR="00A93652" w:rsidRDefault="00A93652" w:rsidP="00A93652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települési támogatásról és az egyéb  szociális ellátásokról szóló 3/2015. </w:t>
      </w:r>
      <w:r w:rsidRPr="009563B1">
        <w:rPr>
          <w:b/>
        </w:rPr>
        <w:t>(</w:t>
      </w:r>
      <w:r w:rsidR="000924C0">
        <w:rPr>
          <w:b/>
        </w:rPr>
        <w:t>II.25</w:t>
      </w:r>
      <w:r>
        <w:rPr>
          <w:b/>
        </w:rPr>
        <w:t>.</w:t>
      </w:r>
      <w:r w:rsidRPr="009563B1">
        <w:rPr>
          <w:b/>
        </w:rPr>
        <w:t>)</w:t>
      </w:r>
      <w:r>
        <w:rPr>
          <w:b/>
        </w:rPr>
        <w:t xml:space="preserve"> önkormányzati </w:t>
      </w:r>
      <w:r w:rsidRPr="009563B1">
        <w:rPr>
          <w:b/>
        </w:rPr>
        <w:t>rendelete</w:t>
      </w:r>
      <w:r>
        <w:rPr>
          <w:b/>
        </w:rPr>
        <w:t xml:space="preserve"> módosításáról</w:t>
      </w:r>
    </w:p>
    <w:p w:rsidR="00A93652" w:rsidRDefault="00A93652" w:rsidP="00A93652">
      <w:pPr>
        <w:jc w:val="center"/>
        <w:rPr>
          <w:b/>
        </w:rPr>
      </w:pPr>
    </w:p>
    <w:p w:rsidR="00A93652" w:rsidRDefault="00A93652" w:rsidP="00A93652">
      <w:pPr>
        <w:jc w:val="center"/>
        <w:rPr>
          <w:b/>
        </w:rPr>
      </w:pPr>
      <w:r>
        <w:rPr>
          <w:b/>
        </w:rPr>
        <w:t>(tervezet)</w:t>
      </w:r>
    </w:p>
    <w:p w:rsidR="00A93652" w:rsidRDefault="00A93652" w:rsidP="00A93652">
      <w:pPr>
        <w:jc w:val="center"/>
        <w:rPr>
          <w:b/>
        </w:rPr>
      </w:pPr>
    </w:p>
    <w:p w:rsidR="00A93652" w:rsidRDefault="000924C0" w:rsidP="00D74673">
      <w:pPr>
        <w:jc w:val="both"/>
        <w:rPr>
          <w:szCs w:val="24"/>
        </w:rPr>
      </w:pPr>
      <w:r>
        <w:rPr>
          <w:szCs w:val="24"/>
        </w:rPr>
        <w:t>Nick</w:t>
      </w:r>
      <w:r w:rsidR="00A93652">
        <w:rPr>
          <w:szCs w:val="24"/>
        </w:rPr>
        <w:t xml:space="preserve"> Község</w:t>
      </w:r>
      <w:r w:rsidR="00A93652" w:rsidRPr="00880C99">
        <w:rPr>
          <w:szCs w:val="24"/>
        </w:rPr>
        <w:t xml:space="preserve"> Önkormányzatának Képviselő-testülete a szociális igazgatásról és a szociális ellátásokról szóló 1993. évi III. </w:t>
      </w:r>
      <w:r w:rsidR="00A93652">
        <w:rPr>
          <w:szCs w:val="24"/>
        </w:rPr>
        <w:t xml:space="preserve">törvény </w:t>
      </w:r>
      <w:r w:rsidR="007522DC">
        <w:rPr>
          <w:szCs w:val="24"/>
        </w:rPr>
        <w:t>92.§ (1) bekezdés a) pontjában és a (2) bekezdés f) pontjában</w:t>
      </w:r>
      <w:r w:rsidR="00A93652">
        <w:rPr>
          <w:szCs w:val="24"/>
        </w:rPr>
        <w:t xml:space="preserve"> </w:t>
      </w:r>
      <w:r w:rsidR="00A93652" w:rsidRPr="00880C99">
        <w:rPr>
          <w:szCs w:val="24"/>
        </w:rPr>
        <w:t>kapott felhatalmazás alapján, az Alaptörvény 32. cikk (1) bekezdés a) pontjában, valamint Magyarország helyi önkormányzatairól szóló 2011. évi CLXXXIX. törvény 13.§ (1) bekezdés 8a. pontjában meghatározott feladatkörében eljárva a következőket rendeli el</w:t>
      </w:r>
      <w:r w:rsidR="00A93652">
        <w:rPr>
          <w:szCs w:val="24"/>
        </w:rPr>
        <w:t>:</w:t>
      </w:r>
    </w:p>
    <w:p w:rsidR="00A93652" w:rsidRDefault="00A93652" w:rsidP="00A93652">
      <w:pPr>
        <w:rPr>
          <w:szCs w:val="24"/>
        </w:rPr>
      </w:pPr>
    </w:p>
    <w:p w:rsidR="00A93652" w:rsidRPr="003700AE" w:rsidRDefault="00A93652" w:rsidP="00A93652">
      <w:pPr>
        <w:jc w:val="center"/>
        <w:rPr>
          <w:b/>
        </w:rPr>
      </w:pPr>
      <w:r w:rsidRPr="003700AE">
        <w:rPr>
          <w:b/>
        </w:rPr>
        <w:t>1.§</w:t>
      </w:r>
    </w:p>
    <w:p w:rsidR="00A93652" w:rsidRDefault="00A93652" w:rsidP="00A93652">
      <w:pPr>
        <w:jc w:val="both"/>
      </w:pPr>
    </w:p>
    <w:p w:rsidR="00AE0689" w:rsidRDefault="00A93652" w:rsidP="00AE0689">
      <w:pPr>
        <w:jc w:val="both"/>
      </w:pPr>
      <w:r>
        <w:t>A települési támogatásról és az egyéb szociális ellátásokról szóló 3/2015.(II.25.) önkormányzati rend</w:t>
      </w:r>
      <w:r w:rsidR="00136EE4">
        <w:t xml:space="preserve">elet (a továbbiakban: R.) </w:t>
      </w:r>
      <w:r w:rsidR="00AE0689">
        <w:t>3.§ (6) bekezdése helyébe a következő rendelkezés lép:</w:t>
      </w:r>
    </w:p>
    <w:p w:rsidR="00AE0689" w:rsidRDefault="00AE0689" w:rsidP="00AE0689">
      <w:pPr>
        <w:jc w:val="both"/>
      </w:pPr>
    </w:p>
    <w:p w:rsidR="00AE0689" w:rsidRDefault="00AE0689" w:rsidP="00AE0689">
      <w:pPr>
        <w:widowControl w:val="0"/>
        <w:autoSpaceDE w:val="0"/>
        <w:ind w:left="360"/>
        <w:jc w:val="both"/>
      </w:pPr>
      <w:r w:rsidRPr="00CA059E">
        <w:t>„ (6) A 3. § (1) bekezdés a) pontja esetében az ellátást meg kell szüntetni</w:t>
      </w:r>
      <w:r>
        <w:t>:</w:t>
      </w:r>
    </w:p>
    <w:p w:rsidR="00AE0689" w:rsidRDefault="00AE0689" w:rsidP="00AE0689">
      <w:pPr>
        <w:pStyle w:val="Listaszerbekezds"/>
        <w:widowControl w:val="0"/>
        <w:numPr>
          <w:ilvl w:val="0"/>
          <w:numId w:val="1"/>
        </w:numPr>
        <w:autoSpaceDE w:val="0"/>
        <w:jc w:val="both"/>
      </w:pPr>
      <w:r w:rsidRPr="00CA059E">
        <w:t xml:space="preserve"> a jogosult halálával, annak a hónapnak az utolsó napjával, mely</w:t>
      </w:r>
      <w:r>
        <w:t xml:space="preserve"> hónapban a halálesetet történt,</w:t>
      </w:r>
    </w:p>
    <w:p w:rsidR="00AE0689" w:rsidRPr="00CA059E" w:rsidRDefault="00AE0689" w:rsidP="00AE0689">
      <w:pPr>
        <w:pStyle w:val="Listaszerbekezds"/>
        <w:widowControl w:val="0"/>
        <w:numPr>
          <w:ilvl w:val="0"/>
          <w:numId w:val="1"/>
        </w:numPr>
        <w:autoSpaceDE w:val="0"/>
        <w:jc w:val="both"/>
      </w:pPr>
      <w:r>
        <w:t xml:space="preserve">a jogosult lakcímében bekövetkezett változás esetén </w:t>
      </w:r>
      <w:r w:rsidRPr="004416BC">
        <w:t>a</w:t>
      </w:r>
      <w:r>
        <w:t>nnak a hónapnak a napjától</w:t>
      </w:r>
      <w:r w:rsidRPr="004416BC">
        <w:t xml:space="preserve">, mely </w:t>
      </w:r>
      <w:r>
        <w:t>napján</w:t>
      </w:r>
      <w:r w:rsidRPr="004416BC">
        <w:t xml:space="preserve"> lakcíme megszűnt.</w:t>
      </w:r>
      <w:r>
        <w:t>”</w:t>
      </w:r>
    </w:p>
    <w:p w:rsidR="00A93652" w:rsidRDefault="00A93652" w:rsidP="00A93652">
      <w:pPr>
        <w:jc w:val="both"/>
      </w:pPr>
    </w:p>
    <w:p w:rsidR="00A93652" w:rsidRDefault="00A93652" w:rsidP="00A93652">
      <w:pPr>
        <w:tabs>
          <w:tab w:val="left" w:pos="360"/>
        </w:tabs>
        <w:jc w:val="both"/>
      </w:pPr>
    </w:p>
    <w:p w:rsidR="00AE0689" w:rsidRDefault="00AE0689" w:rsidP="00AE0689">
      <w:pPr>
        <w:spacing w:before="240"/>
        <w:jc w:val="center"/>
        <w:rPr>
          <w:b/>
        </w:rPr>
      </w:pPr>
      <w:r>
        <w:rPr>
          <w:b/>
        </w:rPr>
        <w:t>2</w:t>
      </w:r>
      <w:r w:rsidRPr="00816F2F">
        <w:rPr>
          <w:b/>
        </w:rPr>
        <w:t>.§</w:t>
      </w:r>
    </w:p>
    <w:p w:rsidR="00AE0689" w:rsidRDefault="00AE0689" w:rsidP="00AE0689">
      <w:pPr>
        <w:tabs>
          <w:tab w:val="left" w:pos="360"/>
        </w:tabs>
        <w:jc w:val="both"/>
      </w:pPr>
      <w:r>
        <w:t xml:space="preserve"> Az R. 4. melléklete helyébe az 1. melléklet lép</w:t>
      </w:r>
    </w:p>
    <w:p w:rsidR="00AE0689" w:rsidRDefault="00AE0689" w:rsidP="00A93652">
      <w:pPr>
        <w:tabs>
          <w:tab w:val="left" w:pos="360"/>
        </w:tabs>
        <w:jc w:val="both"/>
      </w:pPr>
    </w:p>
    <w:p w:rsidR="00A93652" w:rsidRPr="00816F2F" w:rsidRDefault="00AE0689" w:rsidP="00A93652">
      <w:pPr>
        <w:spacing w:before="240"/>
        <w:jc w:val="center"/>
        <w:rPr>
          <w:b/>
        </w:rPr>
      </w:pPr>
      <w:r>
        <w:rPr>
          <w:b/>
        </w:rPr>
        <w:t>3</w:t>
      </w:r>
      <w:r w:rsidR="00A93652" w:rsidRPr="00816F2F">
        <w:rPr>
          <w:b/>
        </w:rPr>
        <w:t>.§</w:t>
      </w:r>
    </w:p>
    <w:p w:rsidR="00A93652" w:rsidRDefault="00A93652" w:rsidP="00A93652">
      <w:pPr>
        <w:jc w:val="both"/>
      </w:pPr>
    </w:p>
    <w:p w:rsidR="00A93652" w:rsidRDefault="00C27E86" w:rsidP="00A9365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Ez a rendelet 2018</w:t>
      </w:r>
      <w:r w:rsidR="007522DC">
        <w:rPr>
          <w:shd w:val="clear" w:color="auto" w:fill="FFFFFF"/>
        </w:rPr>
        <w:t xml:space="preserve">. április 1-jén </w:t>
      </w:r>
      <w:r w:rsidR="00A93652">
        <w:rPr>
          <w:shd w:val="clear" w:color="auto" w:fill="FFFFFF"/>
        </w:rPr>
        <w:t>lép hatályba és a hatályba lépését követő napon hatályát veszti.</w:t>
      </w:r>
    </w:p>
    <w:p w:rsidR="00A93652" w:rsidRDefault="00A93652" w:rsidP="00A93652">
      <w:pPr>
        <w:jc w:val="both"/>
      </w:pPr>
    </w:p>
    <w:p w:rsidR="00A93652" w:rsidRDefault="00A93652" w:rsidP="00A93652">
      <w:pPr>
        <w:jc w:val="both"/>
      </w:pPr>
    </w:p>
    <w:p w:rsidR="00A93652" w:rsidRDefault="00A93652" w:rsidP="00A93652">
      <w:pPr>
        <w:jc w:val="both"/>
      </w:pPr>
    </w:p>
    <w:p w:rsidR="00A93652" w:rsidRDefault="00A93652" w:rsidP="00A93652">
      <w:pPr>
        <w:jc w:val="both"/>
      </w:pPr>
    </w:p>
    <w:p w:rsidR="00A93652" w:rsidRDefault="000924C0" w:rsidP="00A93652">
      <w:pPr>
        <w:jc w:val="both"/>
      </w:pPr>
      <w:r>
        <w:t>Nick</w:t>
      </w:r>
      <w:r w:rsidR="00C27E86">
        <w:t>, 2018</w:t>
      </w:r>
      <w:r w:rsidR="00A93652">
        <w:t xml:space="preserve">. </w:t>
      </w:r>
      <w:r w:rsidR="00C27E86">
        <w:t>március 27</w:t>
      </w:r>
      <w:r w:rsidR="00A93652">
        <w:t>.</w:t>
      </w:r>
    </w:p>
    <w:p w:rsidR="00A93652" w:rsidRDefault="00A93652" w:rsidP="00A93652">
      <w:pPr>
        <w:jc w:val="both"/>
      </w:pPr>
    </w:p>
    <w:p w:rsidR="00A93652" w:rsidRDefault="00A93652" w:rsidP="00A93652">
      <w:pPr>
        <w:jc w:val="both"/>
      </w:pPr>
    </w:p>
    <w:p w:rsidR="00A93652" w:rsidRDefault="00A93652" w:rsidP="00A93652">
      <w:pPr>
        <w:jc w:val="both"/>
      </w:pPr>
    </w:p>
    <w:p w:rsidR="00A93652" w:rsidRDefault="00A93652" w:rsidP="00A93652">
      <w:pPr>
        <w:tabs>
          <w:tab w:val="center" w:pos="1418"/>
          <w:tab w:val="center" w:pos="7088"/>
        </w:tabs>
        <w:jc w:val="both"/>
      </w:pPr>
      <w:r>
        <w:tab/>
      </w:r>
      <w:r w:rsidR="000924C0">
        <w:t>Csorba József</w:t>
      </w:r>
      <w:r>
        <w:t xml:space="preserve"> </w:t>
      </w:r>
      <w:proofErr w:type="spellStart"/>
      <w:r>
        <w:t>sk</w:t>
      </w:r>
      <w:proofErr w:type="spellEnd"/>
      <w:r>
        <w:t>.</w:t>
      </w:r>
      <w:r>
        <w:tab/>
      </w:r>
      <w:proofErr w:type="gramStart"/>
      <w:r>
        <w:t>dr.</w:t>
      </w:r>
      <w:proofErr w:type="gramEnd"/>
      <w:r>
        <w:t xml:space="preserve"> Kiss Julianna </w:t>
      </w:r>
      <w:proofErr w:type="spellStart"/>
      <w:r>
        <w:t>sk</w:t>
      </w:r>
      <w:proofErr w:type="spellEnd"/>
      <w:r>
        <w:t>.</w:t>
      </w:r>
    </w:p>
    <w:p w:rsidR="004C6EE1" w:rsidRDefault="00A93652" w:rsidP="00AE0689">
      <w:pPr>
        <w:tabs>
          <w:tab w:val="center" w:pos="1418"/>
          <w:tab w:val="center" w:pos="7088"/>
        </w:tabs>
        <w:jc w:val="both"/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p w:rsidR="00AE0689" w:rsidRDefault="00AE0689" w:rsidP="00AE0689">
      <w:pPr>
        <w:tabs>
          <w:tab w:val="center" w:pos="1418"/>
          <w:tab w:val="center" w:pos="7088"/>
        </w:tabs>
        <w:jc w:val="both"/>
      </w:pPr>
    </w:p>
    <w:p w:rsidR="00AE0689" w:rsidRDefault="00AE0689" w:rsidP="00AE0689">
      <w:pPr>
        <w:tabs>
          <w:tab w:val="center" w:pos="1418"/>
          <w:tab w:val="center" w:pos="7088"/>
        </w:tabs>
        <w:jc w:val="both"/>
      </w:pPr>
    </w:p>
    <w:p w:rsidR="00406888" w:rsidRDefault="00406888" w:rsidP="00AE0689">
      <w:pPr>
        <w:tabs>
          <w:tab w:val="center" w:pos="1418"/>
          <w:tab w:val="center" w:pos="7088"/>
        </w:tabs>
        <w:jc w:val="both"/>
      </w:pPr>
    </w:p>
    <w:p w:rsidR="00406888" w:rsidRDefault="00406888" w:rsidP="00AE0689">
      <w:pPr>
        <w:tabs>
          <w:tab w:val="center" w:pos="1418"/>
          <w:tab w:val="center" w:pos="7088"/>
        </w:tabs>
        <w:jc w:val="both"/>
      </w:pPr>
    </w:p>
    <w:p w:rsidR="00480958" w:rsidRDefault="00480958" w:rsidP="00AE0689">
      <w:pPr>
        <w:tabs>
          <w:tab w:val="center" w:pos="1418"/>
          <w:tab w:val="center" w:pos="7088"/>
        </w:tabs>
        <w:jc w:val="both"/>
      </w:pPr>
      <w:bookmarkStart w:id="0" w:name="_GoBack"/>
      <w:bookmarkEnd w:id="0"/>
    </w:p>
    <w:p w:rsidR="00406888" w:rsidRPr="00AE0689" w:rsidRDefault="00406888" w:rsidP="00AE0689">
      <w:pPr>
        <w:tabs>
          <w:tab w:val="center" w:pos="1418"/>
          <w:tab w:val="center" w:pos="7088"/>
        </w:tabs>
        <w:jc w:val="both"/>
      </w:pPr>
    </w:p>
    <w:p w:rsidR="00D82B60" w:rsidRDefault="00D82B60" w:rsidP="00D82B60">
      <w:pPr>
        <w:pStyle w:val="NormlWeb"/>
        <w:spacing w:after="0"/>
        <w:jc w:val="right"/>
      </w:pPr>
      <w:r>
        <w:rPr>
          <w:b/>
          <w:bCs/>
        </w:rPr>
        <w:lastRenderedPageBreak/>
        <w:t xml:space="preserve">1. </w:t>
      </w:r>
      <w:r>
        <w:rPr>
          <w:b/>
        </w:rPr>
        <w:t xml:space="preserve">melléklet </w:t>
      </w:r>
      <w:proofErr w:type="gramStart"/>
      <w:r w:rsidRPr="000E3D5C">
        <w:rPr>
          <w:b/>
        </w:rPr>
        <w:t>a</w:t>
      </w:r>
      <w:r>
        <w:rPr>
          <w:b/>
          <w:sz w:val="28"/>
          <w:szCs w:val="28"/>
        </w:rPr>
        <w:t xml:space="preserve"> </w:t>
      </w:r>
      <w:r w:rsidR="00C27E86">
        <w:rPr>
          <w:b/>
        </w:rPr>
        <w:t>.</w:t>
      </w:r>
      <w:proofErr w:type="gramEnd"/>
      <w:r w:rsidR="00C27E86">
        <w:rPr>
          <w:b/>
        </w:rPr>
        <w:t>./2018</w:t>
      </w:r>
      <w:r>
        <w:rPr>
          <w:b/>
        </w:rPr>
        <w:t>.(….) önkormányzati rendelethez</w:t>
      </w:r>
    </w:p>
    <w:p w:rsidR="00D82B60" w:rsidRPr="00136EE4" w:rsidRDefault="00136EE4" w:rsidP="00136EE4">
      <w:pPr>
        <w:pStyle w:val="NormlWeb"/>
        <w:spacing w:after="0"/>
        <w:jc w:val="right"/>
        <w:rPr>
          <w:b/>
        </w:rPr>
      </w:pPr>
      <w:r w:rsidRPr="00136EE4">
        <w:rPr>
          <w:b/>
        </w:rPr>
        <w:t>4. melléklet a 3/2015.(I</w:t>
      </w:r>
      <w:r>
        <w:rPr>
          <w:b/>
        </w:rPr>
        <w:t>I.25.) önkormányzati rendelethez</w:t>
      </w:r>
    </w:p>
    <w:p w:rsidR="00D82B60" w:rsidRDefault="00D82B60" w:rsidP="00D82B60">
      <w:pPr>
        <w:jc w:val="both"/>
        <w:rPr>
          <w:shd w:val="clear" w:color="auto" w:fill="FFFFFF"/>
        </w:rPr>
      </w:pPr>
    </w:p>
    <w:p w:rsidR="00D82B60" w:rsidRDefault="00D82B60" w:rsidP="00D82B60">
      <w:pPr>
        <w:jc w:val="both"/>
        <w:rPr>
          <w:shd w:val="clear" w:color="auto" w:fill="FFFFFF"/>
        </w:rPr>
      </w:pPr>
    </w:p>
    <w:p w:rsidR="00D82B60" w:rsidRPr="00FC7DC5" w:rsidRDefault="00136EE4" w:rsidP="00D82B60">
      <w:pPr>
        <w:pStyle w:val="NormlWeb"/>
        <w:spacing w:after="0"/>
        <w:rPr>
          <w:b/>
        </w:rPr>
      </w:pPr>
      <w:r>
        <w:rPr>
          <w:b/>
          <w:u w:val="single"/>
        </w:rPr>
        <w:t>H</w:t>
      </w:r>
      <w:r w:rsidR="00D82B60" w:rsidRPr="00FC7DC5">
        <w:rPr>
          <w:b/>
          <w:u w:val="single"/>
        </w:rPr>
        <w:t>ázi segítségnyújtás intézményi térítési díja:</w:t>
      </w:r>
    </w:p>
    <w:p w:rsidR="00D82B60" w:rsidRPr="00F53360" w:rsidRDefault="00D82B60" w:rsidP="00D82B60"/>
    <w:p w:rsidR="00D82B60" w:rsidRDefault="00D82B60" w:rsidP="00D82B60">
      <w:pPr>
        <w:pStyle w:val="Alaprtelmezett"/>
        <w:jc w:val="both"/>
      </w:pPr>
      <w:r>
        <w:t>Az intézmény térítési díj összege</w:t>
      </w:r>
    </w:p>
    <w:p w:rsidR="00D82B60" w:rsidRDefault="00D82B60" w:rsidP="00D82B60">
      <w:pPr>
        <w:pStyle w:val="Alaprtelmezett"/>
        <w:jc w:val="both"/>
      </w:pPr>
    </w:p>
    <w:p w:rsidR="00136EE4" w:rsidRDefault="00C34E10" w:rsidP="00136EE4">
      <w:pPr>
        <w:jc w:val="both"/>
        <w:rPr>
          <w:shd w:val="clear" w:color="auto" w:fill="FFFFFF"/>
        </w:rPr>
      </w:pPr>
      <w:r>
        <w:rPr>
          <w:b/>
          <w:bCs/>
        </w:rPr>
        <w:t xml:space="preserve">Szociális segítés: </w:t>
      </w:r>
      <w:r w:rsidR="00C27E86">
        <w:rPr>
          <w:b/>
          <w:bCs/>
        </w:rPr>
        <w:t>2335</w:t>
      </w:r>
      <w:r w:rsidR="00D52B27">
        <w:rPr>
          <w:b/>
          <w:bCs/>
        </w:rPr>
        <w:t>.-</w:t>
      </w:r>
      <w:r w:rsidR="00136EE4">
        <w:rPr>
          <w:b/>
          <w:bCs/>
        </w:rPr>
        <w:t xml:space="preserve">Ft/óra </w:t>
      </w:r>
      <w:r w:rsidR="00136EE4">
        <w:t xml:space="preserve">(az ár a mindenkori Áfa összegét tartalmazza.) </w:t>
      </w:r>
    </w:p>
    <w:p w:rsidR="00136EE4" w:rsidRDefault="00C34E10" w:rsidP="00136EE4">
      <w:pPr>
        <w:pStyle w:val="Alaprtelmezett"/>
        <w:jc w:val="both"/>
        <w:rPr>
          <w:b/>
          <w:bCs/>
        </w:rPr>
      </w:pPr>
      <w:r>
        <w:rPr>
          <w:b/>
          <w:bCs/>
        </w:rPr>
        <w:t xml:space="preserve">Személyi gondozás: </w:t>
      </w:r>
      <w:r w:rsidR="00C27E86">
        <w:rPr>
          <w:b/>
          <w:bCs/>
        </w:rPr>
        <w:t>2335</w:t>
      </w:r>
      <w:r w:rsidR="00D52B27">
        <w:rPr>
          <w:b/>
          <w:bCs/>
        </w:rPr>
        <w:t>.-</w:t>
      </w:r>
      <w:r w:rsidR="00136EE4">
        <w:rPr>
          <w:b/>
          <w:bCs/>
        </w:rPr>
        <w:t xml:space="preserve">Ft/óra </w:t>
      </w:r>
      <w:r w:rsidR="00136EE4">
        <w:t>(az ár a mindenkori Áfa összegét tartalmazza.)</w:t>
      </w:r>
    </w:p>
    <w:p w:rsidR="00D82B60" w:rsidRDefault="00D82B60" w:rsidP="00D82B60">
      <w:pPr>
        <w:pStyle w:val="Alaprtelmezett"/>
        <w:jc w:val="both"/>
        <w:rPr>
          <w:b/>
          <w:bCs/>
        </w:rPr>
      </w:pPr>
    </w:p>
    <w:p w:rsidR="00D82B60" w:rsidRDefault="00D82B60" w:rsidP="00D82B60">
      <w:pPr>
        <w:jc w:val="both"/>
        <w:rPr>
          <w:shd w:val="clear" w:color="auto" w:fill="FFFFFF"/>
        </w:rPr>
      </w:pPr>
    </w:p>
    <w:p w:rsidR="00D82B60" w:rsidRDefault="00D82B60" w:rsidP="00A93652"/>
    <w:sectPr w:rsidR="00D82B60" w:rsidSect="00C7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613"/>
    <w:multiLevelType w:val="hybridMultilevel"/>
    <w:tmpl w:val="D30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52"/>
    <w:rsid w:val="00074CDD"/>
    <w:rsid w:val="000924C0"/>
    <w:rsid w:val="00136EE4"/>
    <w:rsid w:val="00257FFA"/>
    <w:rsid w:val="003449A4"/>
    <w:rsid w:val="00406888"/>
    <w:rsid w:val="0046178C"/>
    <w:rsid w:val="00470FD9"/>
    <w:rsid w:val="00480958"/>
    <w:rsid w:val="004C6EE1"/>
    <w:rsid w:val="0055257E"/>
    <w:rsid w:val="005B7C6F"/>
    <w:rsid w:val="006D004D"/>
    <w:rsid w:val="007522DC"/>
    <w:rsid w:val="008A772F"/>
    <w:rsid w:val="00992053"/>
    <w:rsid w:val="00A50E03"/>
    <w:rsid w:val="00A93652"/>
    <w:rsid w:val="00A94024"/>
    <w:rsid w:val="00AB1723"/>
    <w:rsid w:val="00AD597D"/>
    <w:rsid w:val="00AE0689"/>
    <w:rsid w:val="00AE098D"/>
    <w:rsid w:val="00B156CC"/>
    <w:rsid w:val="00BF6855"/>
    <w:rsid w:val="00C27E86"/>
    <w:rsid w:val="00C34E10"/>
    <w:rsid w:val="00C427C4"/>
    <w:rsid w:val="00C555DE"/>
    <w:rsid w:val="00C763C2"/>
    <w:rsid w:val="00C85D0D"/>
    <w:rsid w:val="00D52B27"/>
    <w:rsid w:val="00D74673"/>
    <w:rsid w:val="00D82B60"/>
    <w:rsid w:val="00DE5654"/>
    <w:rsid w:val="00E6472A"/>
    <w:rsid w:val="00EC5F21"/>
    <w:rsid w:val="00F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D039-A930-41AA-A9B2-4AC87255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2B60"/>
    <w:pPr>
      <w:spacing w:before="100" w:beforeAutospacing="1" w:after="119"/>
    </w:pPr>
    <w:rPr>
      <w:szCs w:val="24"/>
    </w:rPr>
  </w:style>
  <w:style w:type="paragraph" w:customStyle="1" w:styleId="Alaprtelmezett">
    <w:name w:val="Alapértelmezett"/>
    <w:rsid w:val="00D82B6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57FFA"/>
  </w:style>
  <w:style w:type="character" w:styleId="Hiperhivatkozs">
    <w:name w:val="Hyperlink"/>
    <w:basedOn w:val="Bekezdsalapbettpusa"/>
    <w:uiPriority w:val="99"/>
    <w:semiHidden/>
    <w:unhideWhenUsed/>
    <w:rsid w:val="00257F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0689"/>
    <w:pPr>
      <w:suppressAutoHyphens/>
      <w:ind w:left="720"/>
      <w:contextualSpacing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5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2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8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2018-03-20T11:52:00Z</dcterms:created>
  <dcterms:modified xsi:type="dcterms:W3CDTF">2018-03-22T09:25:00Z</dcterms:modified>
</cp:coreProperties>
</file>