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B49F1" w14:textId="77777777" w:rsidR="00936939" w:rsidRDefault="00936939" w:rsidP="00936939">
      <w:pPr>
        <w:spacing w:after="72" w:line="240" w:lineRule="auto"/>
        <w:jc w:val="center"/>
        <w:rPr>
          <w:rFonts w:ascii="Source Sans Pro" w:eastAsia="Times New Roman" w:hAnsi="Source Sans Pro" w:cs="Times New Roman"/>
          <w:color w:val="666666"/>
          <w:kern w:val="0"/>
          <w:sz w:val="26"/>
          <w:szCs w:val="26"/>
          <w:lang w:eastAsia="hu-HU"/>
          <w14:ligatures w14:val="none"/>
        </w:rPr>
      </w:pPr>
    </w:p>
    <w:p w14:paraId="0F31DBA5" w14:textId="4ADCB6A7" w:rsidR="00936939" w:rsidRPr="00936939" w:rsidRDefault="00936939" w:rsidP="00936939">
      <w:pPr>
        <w:spacing w:after="72" w:line="240" w:lineRule="auto"/>
        <w:jc w:val="center"/>
        <w:rPr>
          <w:rFonts w:ascii="Cambria" w:eastAsia="Times New Roman" w:hAnsi="Cambria" w:cs="Times New Roman"/>
          <w:color w:val="666666"/>
          <w:kern w:val="0"/>
          <w:sz w:val="26"/>
          <w:szCs w:val="26"/>
          <w:lang w:eastAsia="hu-HU"/>
          <w14:ligatures w14:val="none"/>
        </w:rPr>
      </w:pPr>
      <w:r w:rsidRPr="00936939">
        <w:rPr>
          <w:rFonts w:ascii="Cambria" w:eastAsia="Times New Roman" w:hAnsi="Cambria" w:cs="Times New Roman"/>
          <w:color w:val="666666"/>
          <w:kern w:val="0"/>
          <w:sz w:val="26"/>
          <w:szCs w:val="26"/>
          <w:lang w:eastAsia="hu-HU"/>
          <w14:ligatures w14:val="none"/>
        </w:rPr>
        <w:t xml:space="preserve">Tájékoztató a projektről </w:t>
      </w:r>
    </w:p>
    <w:p w14:paraId="1DEDA5D2" w14:textId="77777777" w:rsidR="00936939" w:rsidRPr="00936939" w:rsidRDefault="00936939" w:rsidP="00936939">
      <w:pPr>
        <w:spacing w:after="72" w:line="240" w:lineRule="auto"/>
        <w:jc w:val="center"/>
        <w:rPr>
          <w:rFonts w:ascii="Cambria" w:eastAsia="Times New Roman" w:hAnsi="Cambria" w:cs="Times New Roman"/>
          <w:color w:val="666666"/>
          <w:kern w:val="0"/>
          <w:sz w:val="26"/>
          <w:szCs w:val="26"/>
          <w:lang w:eastAsia="hu-HU"/>
          <w14:ligatures w14:val="none"/>
        </w:rPr>
      </w:pPr>
    </w:p>
    <w:p w14:paraId="5A816FBF" w14:textId="77777777" w:rsidR="005A45C7" w:rsidRPr="005A45C7" w:rsidRDefault="005A45C7" w:rsidP="005A45C7">
      <w:pPr>
        <w:spacing w:after="72" w:line="240" w:lineRule="auto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Projekt azonosítószáma: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>KEHOP-2.1.3-15-2017-00068</w:t>
      </w:r>
    </w:p>
    <w:p w14:paraId="5B546DDC" w14:textId="77777777" w:rsidR="005A45C7" w:rsidRDefault="005A45C7" w:rsidP="005A45C7">
      <w:pPr>
        <w:spacing w:after="72" w:line="240" w:lineRule="auto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Projekt címe: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 xml:space="preserve">Répcelak és térsége ivóvízminőség-javító program </w:t>
      </w:r>
    </w:p>
    <w:p w14:paraId="2EA5E4D7" w14:textId="10830A22" w:rsidR="005A45C7" w:rsidRDefault="005A45C7" w:rsidP="005A45C7">
      <w:pPr>
        <w:spacing w:after="72" w:line="240" w:lineRule="auto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K</w:t>
      </w:r>
      <w:r w:rsidR="00936939" w:rsidRPr="00936939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 xml:space="preserve">edvezményezett neve: </w:t>
      </w:r>
      <w:r w:rsidR="00936939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 xml:space="preserve">Közlekedési és Beruházási Minisztérium (jogelődje: Építési </w:t>
      </w:r>
    </w:p>
    <w:p w14:paraId="53D0FB2F" w14:textId="0C9797C4" w:rsidR="005A45C7" w:rsidRPr="005A45C7" w:rsidRDefault="005A45C7" w:rsidP="005A45C7">
      <w:pPr>
        <w:spacing w:after="72" w:line="240" w:lineRule="auto"/>
        <w:ind w:left="2124" w:firstLine="708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és Közlekedési Minisztérium)</w:t>
      </w:r>
    </w:p>
    <w:p w14:paraId="13412EBE" w14:textId="77777777" w:rsidR="005A45C7" w:rsidRPr="005A45C7" w:rsidRDefault="005A45C7" w:rsidP="005A45C7">
      <w:pPr>
        <w:spacing w:after="72" w:line="240" w:lineRule="auto"/>
        <w:ind w:left="2124" w:firstLine="708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Répcelak Város Önkormányzata</w:t>
      </w:r>
    </w:p>
    <w:p w14:paraId="46AADB62" w14:textId="77777777" w:rsidR="005A45C7" w:rsidRPr="005A45C7" w:rsidRDefault="005A45C7" w:rsidP="005A45C7">
      <w:pPr>
        <w:spacing w:after="72" w:line="240" w:lineRule="auto"/>
        <w:ind w:left="2124" w:firstLine="708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Nick Község Önkormányzata</w:t>
      </w:r>
    </w:p>
    <w:p w14:paraId="29B69A52" w14:textId="23AF0676" w:rsidR="00936939" w:rsidRDefault="005A45C7" w:rsidP="005A45C7">
      <w:pPr>
        <w:spacing w:after="72" w:line="240" w:lineRule="auto"/>
        <w:ind w:left="2124" w:firstLine="708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Csánig Község Önkormányzata</w:t>
      </w:r>
    </w:p>
    <w:p w14:paraId="6F929FFB" w14:textId="3863503D" w:rsidR="005A45C7" w:rsidRPr="005A45C7" w:rsidRDefault="005A45C7" w:rsidP="005A45C7">
      <w:pPr>
        <w:spacing w:after="120" w:line="360" w:lineRule="atLeast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Támogatás összege:</w:t>
      </w:r>
      <w:r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</w:r>
      <w:r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271 228 264 Ft</w:t>
      </w:r>
    </w:p>
    <w:p w14:paraId="67104F13" w14:textId="729C5B8B" w:rsidR="005A45C7" w:rsidRPr="005A45C7" w:rsidRDefault="005A45C7" w:rsidP="005A45C7">
      <w:pPr>
        <w:spacing w:after="120" w:line="360" w:lineRule="atLeast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Támogatás mértéke:</w:t>
      </w:r>
      <w:r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</w:r>
      <w:r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86,956521 %</w:t>
      </w:r>
    </w:p>
    <w:p w14:paraId="77B68582" w14:textId="247FBE33" w:rsidR="005A45C7" w:rsidRPr="005A45C7" w:rsidRDefault="005A45C7" w:rsidP="005A45C7">
      <w:pPr>
        <w:spacing w:after="120" w:line="360" w:lineRule="atLeast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Projekt befejezési dátuma:</w:t>
      </w:r>
      <w:r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2023.12.31.</w:t>
      </w:r>
    </w:p>
    <w:p w14:paraId="7CDE590C" w14:textId="77777777" w:rsidR="005A45C7" w:rsidRPr="005A45C7" w:rsidRDefault="005A45C7" w:rsidP="005A45C7">
      <w:pPr>
        <w:spacing w:after="120" w:line="360" w:lineRule="atLeast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</w:p>
    <w:p w14:paraId="790B1EA3" w14:textId="77777777" w:rsidR="005A45C7" w:rsidRDefault="005A45C7" w:rsidP="005A45C7">
      <w:pPr>
        <w:spacing w:after="120" w:line="360" w:lineRule="atLeast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projekt megvalósítási helyszínei: Répcelak, Csánig, Nick települések voltak.</w:t>
      </w:r>
    </w:p>
    <w:p w14:paraId="0A1865FE" w14:textId="77777777" w:rsidR="005A45C7" w:rsidRPr="005A45C7" w:rsidRDefault="005A45C7" w:rsidP="005A45C7">
      <w:pPr>
        <w:spacing w:after="120" w:line="360" w:lineRule="atLeast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</w:p>
    <w:p w14:paraId="250F1547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  <w:t>1.1.1.1 Az „A” változat leírása, műszaki ismertetése</w:t>
      </w:r>
    </w:p>
    <w:p w14:paraId="4EB00B60" w14:textId="650D888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Répcelaki vízműtelepen új vízkezelő technológia kialakítása törésponti klórozással</w:t>
      </w:r>
      <w:r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.</w:t>
      </w:r>
    </w:p>
    <w:p w14:paraId="52B13FC2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telepített vízkezelő technológia a törésponti klórozáson alapuló vas- és mangántalanítást, valamint az ammónia-mentesítést aktív szénszűrővel valósította meg.</w:t>
      </w:r>
    </w:p>
    <w:p w14:paraId="74E7E62A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  <w:t>Tervezési alapadatok:</w:t>
      </w:r>
    </w:p>
    <w:p w14:paraId="7F75E0A6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Jelenlegi vízmennyiségek:</w:t>
      </w:r>
    </w:p>
    <w:p w14:paraId="68384932" w14:textId="77777777" w:rsidR="005A45C7" w:rsidRPr="005A45C7" w:rsidRDefault="005A45C7" w:rsidP="005A45C7">
      <w:pPr>
        <w:spacing w:after="120" w:line="240" w:lineRule="auto"/>
        <w:ind w:left="708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•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>A vízműtelep névleges kapacitása: 600 m³/d.</w:t>
      </w:r>
    </w:p>
    <w:p w14:paraId="525CFDF9" w14:textId="77777777" w:rsidR="005A45C7" w:rsidRPr="005A45C7" w:rsidRDefault="005A45C7" w:rsidP="005A45C7">
      <w:pPr>
        <w:spacing w:after="120" w:line="240" w:lineRule="auto"/>
        <w:ind w:left="708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Várható, tervezési vízmennyiségek:</w:t>
      </w:r>
    </w:p>
    <w:p w14:paraId="54880821" w14:textId="77777777" w:rsidR="005A45C7" w:rsidRPr="005A45C7" w:rsidRDefault="005A45C7" w:rsidP="005A45C7">
      <w:pPr>
        <w:spacing w:after="120" w:line="240" w:lineRule="auto"/>
        <w:ind w:left="708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•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>A telep által átlagosan szolgáltatott vízmennyiség: 430 m³/d.</w:t>
      </w:r>
    </w:p>
    <w:p w14:paraId="01ACCF8E" w14:textId="77777777" w:rsidR="005A45C7" w:rsidRPr="005A45C7" w:rsidRDefault="005A45C7" w:rsidP="005A45C7">
      <w:pPr>
        <w:spacing w:after="120" w:line="240" w:lineRule="auto"/>
        <w:ind w:left="708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•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>A telep által csúcsvíz-igény esetén szolgáltatott vízmennyiség: 625 m³/d.</w:t>
      </w:r>
    </w:p>
    <w:p w14:paraId="5DA32DD6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Az „A” változat keretében Répcelakon, a meglévő vízműtelepen új vízkezelő technológia került kialakításra. A meglévő kutak kapacitása elegendőnek bizonyult. A vízműtelepen található kezelőépület felújítását és átalakítását követően alkalmassá vált a tervezett vízkezelő technológia befogadására. A vízműtelep Répcelak, Nick és Csánig önkormányzatainak tulajdonában volt.</w:t>
      </w:r>
    </w:p>
    <w:p w14:paraId="58224DE0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telepített vízkezelő technológia a törésponti klórozáson alapuló vas- és mangántalanítást, valamint az ammónia-mentesítést aktív szénszűrővel valósította meg.</w:t>
      </w:r>
    </w:p>
    <w:p w14:paraId="371260C5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 xml:space="preserve">A kutak a tervezett vízkezelő technológiára dolgoztak, a gyorsszűrő tartály előtt pedig a kútüzemhez igazodva történt meg a törésponti klórozás. A klórozó berendezések, a 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lastRenderedPageBreak/>
        <w:t>többrétegű multimédia szűrők, valamint az aktív „C” szűrők (2–2 db) a felújított technológiai gépházban kaptak helyet. Az aktív „C” szűrők után történt az utóklór bevitele.</w:t>
      </w:r>
    </w:p>
    <w:p w14:paraId="5717299A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kezelt víz a felújított, 2 × 200 m³-es vízműtelepi, térszíni tisztítottvíz-tárolóba került. Innen a meglévő, frekvenciaváltóval üzemelő hálózati szivattyúegység továbbította a tisztított vizet a hálózatba. A térszíni tisztítottvíz-tároló lehetőséget biztosított a fogyasztás ingadozásainak kiegyenlítésére.</w:t>
      </w:r>
    </w:p>
    <w:p w14:paraId="2EA3D017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  <w:t>1.1.2 Műszaki eredetű szükségesség</w:t>
      </w:r>
    </w:p>
    <w:p w14:paraId="5D72BF58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Répcelaki Vízműtelep:</w:t>
      </w:r>
    </w:p>
    <w:p w14:paraId="16238DA1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Répcelaki Vízműtelep technológiájának korszerűsítését és fejlesztését a vízminőségi problémákon – vas, mangán, ammónium, valamint mikrobiológiai paraméterek – túl az alábbi körülmények tették indokolttá:</w:t>
      </w:r>
    </w:p>
    <w:p w14:paraId="6CFD1A39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Répcelaki vízbázis 3 db fúrt kútra épült. A vízbázis kútjainak kevert vize a főbb vízszennyező anyagok közül jellemzően határérték felett tartalmazott vasat, mangánt és ammóniumot.</w:t>
      </w:r>
    </w:p>
    <w:p w14:paraId="44E3FA83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korábbi vízkezelést 1 db, 30 m³/h teljesítményű gyorsszűrő acéltartály üzeme jelentette. A kutak kevert nyersvize a kútszivattyúk segítségével közvetlenül a gyorsszűrő tartályra jutott. A gyorsszűrő tartályban a vas és a mangán oxidációját levegőbefúvással biztosították.</w:t>
      </w:r>
    </w:p>
    <w:p w14:paraId="790E4C87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vas- és mangáncsapadék eltávolítása a gyorsszűrőn megtörtént, azonban az ammónia eltávolítása nem volt megoldott.</w:t>
      </w:r>
    </w:p>
    <w:p w14:paraId="349AC830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szűrőtartályhoz visszamosatási kör nem épült ki. A korábbi vízkezelő technológiában fertőtlenítőszer adagolása nem történt.</w:t>
      </w:r>
    </w:p>
    <w:p w14:paraId="30FE97B4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technológia csővezetékei acélcsőből készültek.</w:t>
      </w:r>
    </w:p>
    <w:p w14:paraId="320EAC0F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kezelt víz a gyorsszűrőről a 2 × 200 m³ térfogatú, térszíni tisztavíz-tároló medencébe került. A tárolóban lévő vizet a hálózati szivattyúegység továbbította a települések vízvezeték-hálózatába.</w:t>
      </w:r>
    </w:p>
    <w:p w14:paraId="77EB82DA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gyorsszűrő visszamosatásának lehetősége sem volt biztosított. A szűrő „tisztítása” légkompresszor által bevitt levegővel történt, ami nehezen volt szabályozható. A gyorsszűrőből a fellazított vas- és mangániszap – az ülepítő műtárgy hiányának és a vízkezelő technológia sajátosságainak következményeként – bekerült a tisztavíz-tároló medencébe és a hálózatba.</w:t>
      </w:r>
    </w:p>
    <w:p w14:paraId="2107E95F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gyorsszűrő „tisztítása” az elavult konstrukció miatt nem volt gazdaságos, ugyanis a tisztavíz-tároló medencébe és a települések vízvezeték-hálózatába került vas- és mangániszap miatt gyakran szükségessé vált a hálózatok tűzcsapokon keresztül történő öblítése, így a hálózati veszteség is jelentős volt.</w:t>
      </w:r>
    </w:p>
    <w:p w14:paraId="4790A4DF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vízmű technológiai fejlesztése egyrészt a 201/2001. (X. 25.) Korm. rendelet előírásainak megfelelő, stabil és biztonságos vízellátás biztosítása miatt vált szükségessé, másrészt a vízműtelep gazdaságos és könnyen üzemeltethető működését is szolgálta.</w:t>
      </w:r>
    </w:p>
    <w:p w14:paraId="1311E42B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Répcelaki Vízműtelep vonatkozásában az ammónium, a vas és a mangán koncentrációja haladta meg a megengedett értéket.</w:t>
      </w:r>
    </w:p>
    <w:p w14:paraId="306B0157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horganyzott bekötővezetékek és szerelvények korróziója miatt azokon korróziós lyukadások keletkeztek, amelyek rejtett hibaként növelték a vízveszteséget, illetve nagyobb kárt okozó csőtörések kialakulásához vezethettek. A fogyasztók folyamatos vízellátásának biztosítása érdekében a horganyzott acél bekötővezetékeket KPE csőre kellett cserélni. A VASIVÍZ ZRt. Műszaki Információs Rendszert (MIR) működtetett, amely alapján a bekötővezetékek elhasználódása az egyik leggyakoribb hibaforrásnak számított.</w:t>
      </w:r>
    </w:p>
    <w:p w14:paraId="141F3788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  <w:t>1.1.3 Gazdasági eredetű szükségesség</w:t>
      </w:r>
    </w:p>
    <w:p w14:paraId="0CA2167B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fejlesztés gazdasági szükségszerűségét alátámasztotta, hogy a rossz vízminőség csökkentette a térségben a vállalkozási kedvet.</w:t>
      </w:r>
    </w:p>
    <w:p w14:paraId="41451765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Kedvezőtlen gazdasági hatással járhattak a rossz minőségű ivóvíz által az emberi egészségben okozott károk is, mivel felesleges kiadásokra kényszeríthették az érintetteket.</w:t>
      </w:r>
    </w:p>
    <w:p w14:paraId="129F45B3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Kedvezőtlen társadalmi és egyben gazdasági hatás jelentkezhetett abban is, hogy az ivóvízproblémák miatt a gazdaságilag aktív népesség egy része elköltözhetett az érintett településekről, így kevesebb személyi jövedelemadó kerülhetett vissza az önkormányzatok költségvetésébe.</w:t>
      </w:r>
    </w:p>
    <w:p w14:paraId="0341ACDD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  <w:t>1.1.4 Társadalmi szükségszerűség</w:t>
      </w:r>
    </w:p>
    <w:p w14:paraId="09913CAE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lakosság ivóvízzel való ellátása a legfontosabb közszolgáltatások egyike volt, amely nélkülözhetetlen emberi szükségletet és társadalmi-közegészségügyi igényt elégített ki.</w:t>
      </w:r>
    </w:p>
    <w:p w14:paraId="23D1A101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Közegészségügyi szempontból szükségessé vált a szolgáltatott víz vas-, mangán- és ammóniumtartalmának, valamint a mikroszkópos biológiai vízminőségi paramétereinek határértékre történő csökkentése, amely által biztosíthatóvá vált a jogszabályban előírt megfelelő minőségű ivóvíz.</w:t>
      </w:r>
    </w:p>
    <w:p w14:paraId="3C1A59E7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vízművek területén iskolák és óvodák működtek, ezzel is növelve a kifogástalan minőségű ivóvíz iránti igényt. Annak érdekében, hogy a 201/2001. (X. 25.) Kormányrendeletben szereplő határértékeket folyamatosan biztosítani lehessen, szükségessé vált az elavult technológia fejlesztése vagy kiváltása, figyelembe véve, hogy az alkalmazott technológiai megoldás hosszabb távon sem műszakilag, sem gazdaságilag nem volt fenntartható.</w:t>
      </w:r>
    </w:p>
    <w:p w14:paraId="59F7C680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projekt megvalósítása után nyújtott szolgáltatás iránti igényről szóló előrejelzést és annak indoklását a költség-haszon elemzéshez szükséges 30 éves referencia-időszakra vonatkozóan a 2.2.1. fejezet tartalmazta (víztermelési és fogyasztási adatok előrejelzése).</w:t>
      </w:r>
    </w:p>
    <w:p w14:paraId="1186FAEA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u w:val="single"/>
          <w:lang w:eastAsia="hu-HU"/>
          <w14:ligatures w14:val="none"/>
        </w:rPr>
        <w:t>1.1.5 A célkitűzések meghatározása</w:t>
      </w:r>
    </w:p>
    <w:p w14:paraId="02549164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Általános célok</w:t>
      </w:r>
    </w:p>
    <w:p w14:paraId="015A6D84" w14:textId="77777777" w:rsid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projektjavaslat átfogó célja a KEHOP fejlesztési stratégiáján belül, a települési vízellátás, szennyvíz-elvezetés és -tisztítás, valamint szennyvízkezelés fejlesztése prioritási tengelyén belül az 1. intézkedés, „Ivóvízminőség-javítás, ivóvíz kezelési technológiák fejlesztésével, más vízbázisra történő áttéréssel, térségi rendszerek kialakításával, rekonstrukcióval, illetve ezek kombinációjával” című beavatkozás-csoport céljának elérése volt.</w:t>
      </w:r>
    </w:p>
    <w:p w14:paraId="30742AC3" w14:textId="77777777" w:rsid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</w:p>
    <w:p w14:paraId="5827F8DD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</w:p>
    <w:p w14:paraId="05281FAD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Elsődlegesen:</w:t>
      </w:r>
    </w:p>
    <w:p w14:paraId="6F53D53A" w14:textId="77777777" w:rsidR="005A45C7" w:rsidRPr="005A45C7" w:rsidRDefault="005A45C7" w:rsidP="005A45C7">
      <w:pPr>
        <w:spacing w:after="120" w:line="240" w:lineRule="auto"/>
        <w:ind w:left="708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•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>a Répcelaki Vízműtelepről Répcelak, Nick és Csánig települések lakosságának megfelelő ivóvízellátása.</w:t>
      </w:r>
    </w:p>
    <w:p w14:paraId="7E2817A5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Elérendő célok:</w:t>
      </w:r>
    </w:p>
    <w:p w14:paraId="632017D7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Az érintett településeken:</w:t>
      </w:r>
    </w:p>
    <w:p w14:paraId="613F7988" w14:textId="77777777" w:rsidR="005A45C7" w:rsidRPr="005A45C7" w:rsidRDefault="005A45C7" w:rsidP="005A45C7">
      <w:pPr>
        <w:spacing w:after="120" w:line="240" w:lineRule="auto"/>
        <w:ind w:left="708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•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>a lakosság egészséges ivóvízzel való ellátása.</w:t>
      </w:r>
    </w:p>
    <w:p w14:paraId="5B263BDC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Ezáltal:</w:t>
      </w:r>
    </w:p>
    <w:p w14:paraId="64D33E83" w14:textId="77777777" w:rsidR="005A45C7" w:rsidRPr="005A45C7" w:rsidRDefault="005A45C7" w:rsidP="005A45C7">
      <w:pPr>
        <w:spacing w:after="120" w:line="240" w:lineRule="auto"/>
        <w:ind w:left="708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•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>a 201/2001. (X. 25.) Korm. rendelet ivóvíz-minőségi határértékeinek biztosítása a szolgáltatott közműves ivóvíz 100%-ára vonatkozóan;</w:t>
      </w:r>
    </w:p>
    <w:p w14:paraId="17120E65" w14:textId="77777777" w:rsidR="005A45C7" w:rsidRPr="005A45C7" w:rsidRDefault="005A45C7" w:rsidP="005A45C7">
      <w:pPr>
        <w:spacing w:after="120" w:line="240" w:lineRule="auto"/>
        <w:ind w:left="708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•</w:t>
      </w: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ab/>
        <w:t>valamennyi ivóvíz-közművel ellátott fogyasztási helyen a határértékeknek megfelelő minőségű ivóvíz-szolgáltatás megteremtése.</w:t>
      </w:r>
    </w:p>
    <w:p w14:paraId="2ABEF443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fejlesztési szükségszerűséget közvetlenül kielégítő célok</w:t>
      </w:r>
    </w:p>
    <w:p w14:paraId="7AAD7153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fejlesztés szükségszerűségét alapvetően az ivóvíz minőségi követelményeiről és az ellenőrzés rendjéről szóló 201/2001. (X. 25.) Korm. rendelet határozta meg, illetve támasztotta alá. A rendelet vonatkozó melléklete vízminőségi határértéket szabott meg, amely egyúttal jelen projekt esetében a fejlesztés szükségszerűségét kielégítő célt jelentette.</w:t>
      </w:r>
    </w:p>
    <w:p w14:paraId="6AE165D3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Lakossági, ellátási célok</w:t>
      </w:r>
    </w:p>
    <w:p w14:paraId="640C4669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projekt célja a lakosság biztonságos, megfelelő mennyiségű és minőségű, egészséges ivóvízzel történő ellátása, valamint a szolgáltatás színvonalának és biztonságának javítása volt.</w:t>
      </w:r>
    </w:p>
    <w:p w14:paraId="45F6269A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Környezetvédelmi, ökológiai célok</w:t>
      </w:r>
    </w:p>
    <w:p w14:paraId="0F33B079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projektfejlesztéssel kapcsolatban e célok közvetve fogalmazódtak meg, hiszen az emberi egészség védelme mint elsődleges, közvetlen cél mellett a projekt megvalósítása az emberi életkörülmények, az elfogadható életminőség és az egészséges lakókörnyezet biztosítását szolgálta.</w:t>
      </w:r>
    </w:p>
    <w:p w14:paraId="4D05D338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fenntartható fejlődés és az esélyegyenlőség teljesülése</w:t>
      </w:r>
    </w:p>
    <w:p w14:paraId="7384ED33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Ahogy az az eddigiekből kiolvasható volt, a projekt fő célja a lakosság egészséges ivóvíz iránti szükségleteinek hosszú távon fenntartható kielégítése volt. Ez egyben lehetővé tette az ivóvízminőség terén a régiók között fennálló különbségek csökkentését is, eleget téve ezzel az esélyegyenlőség horizontális alapelveinek.</w:t>
      </w:r>
    </w:p>
    <w:p w14:paraId="4D8C9FE8" w14:textId="77777777" w:rsidR="005A45C7" w:rsidRPr="005A45C7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</w:p>
    <w:p w14:paraId="35821C61" w14:textId="26DF7427" w:rsidR="00936939" w:rsidRPr="00936939" w:rsidRDefault="005A45C7" w:rsidP="005A45C7">
      <w:pPr>
        <w:spacing w:after="120" w:line="240" w:lineRule="auto"/>
        <w:jc w:val="both"/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</w:pPr>
      <w:r w:rsidRPr="005A45C7">
        <w:rPr>
          <w:rFonts w:ascii="Cambria" w:eastAsia="Times New Roman" w:hAnsi="Cambria" w:cs="Times New Roman"/>
          <w:color w:val="666666"/>
          <w:kern w:val="0"/>
          <w:sz w:val="24"/>
          <w:szCs w:val="24"/>
          <w:lang w:eastAsia="hu-HU"/>
          <w14:ligatures w14:val="none"/>
        </w:rPr>
        <w:t>A projekt a Széchenyi 2020 program keretében, az Európai Unió Kohéziós Alapjának támogatásával valósult meg.</w:t>
      </w:r>
    </w:p>
    <w:p w14:paraId="4FDF4F55" w14:textId="40E9C171" w:rsidR="00C52C4C" w:rsidRPr="00936939" w:rsidRDefault="00936939" w:rsidP="005A45C7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t xml:space="preserve">                                      </w:t>
      </w:r>
    </w:p>
    <w:sectPr w:rsidR="00C52C4C" w:rsidRPr="00936939" w:rsidSect="00936939">
      <w:headerReference w:type="default" r:id="rId6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E3B2" w14:textId="77777777" w:rsidR="0083236C" w:rsidRDefault="0083236C" w:rsidP="00936939">
      <w:pPr>
        <w:spacing w:after="0" w:line="240" w:lineRule="auto"/>
      </w:pPr>
      <w:r>
        <w:separator/>
      </w:r>
    </w:p>
  </w:endnote>
  <w:endnote w:type="continuationSeparator" w:id="0">
    <w:p w14:paraId="20444776" w14:textId="77777777" w:rsidR="0083236C" w:rsidRDefault="0083236C" w:rsidP="00936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133CF" w14:textId="77777777" w:rsidR="0083236C" w:rsidRDefault="0083236C" w:rsidP="00936939">
      <w:pPr>
        <w:spacing w:after="0" w:line="240" w:lineRule="auto"/>
      </w:pPr>
      <w:r>
        <w:separator/>
      </w:r>
    </w:p>
  </w:footnote>
  <w:footnote w:type="continuationSeparator" w:id="0">
    <w:p w14:paraId="69270D66" w14:textId="77777777" w:rsidR="0083236C" w:rsidRDefault="0083236C" w:rsidP="00936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A9753" w14:textId="421CD2D8" w:rsidR="00936939" w:rsidRDefault="00936939" w:rsidP="00936939">
    <w:pPr>
      <w:pStyle w:val="lfej"/>
      <w:ind w:left="-1417"/>
    </w:pPr>
    <w:r>
      <w:rPr>
        <w:noProof/>
      </w:rPr>
      <w:drawing>
        <wp:inline distT="0" distB="0" distL="0" distR="0" wp14:anchorId="0751329A" wp14:editId="08ABCE7A">
          <wp:extent cx="3902075" cy="1188720"/>
          <wp:effectExtent l="0" t="0" r="3175" b="0"/>
          <wp:docPr id="1929997042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2075" cy="118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39"/>
    <w:rsid w:val="005A45C7"/>
    <w:rsid w:val="005F3DA6"/>
    <w:rsid w:val="00706673"/>
    <w:rsid w:val="007F20D3"/>
    <w:rsid w:val="0083236C"/>
    <w:rsid w:val="00926A9E"/>
    <w:rsid w:val="00936939"/>
    <w:rsid w:val="00974B40"/>
    <w:rsid w:val="00C200A0"/>
    <w:rsid w:val="00C52C4C"/>
    <w:rsid w:val="00E6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C051B"/>
  <w15:chartTrackingRefBased/>
  <w15:docId w15:val="{E87951B8-4DBF-497E-A4DE-0FC45E65B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6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6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6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6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6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6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6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6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6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6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6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6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693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693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693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693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693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693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6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6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6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6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6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693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693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693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6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693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6939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936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36939"/>
  </w:style>
  <w:style w:type="paragraph" w:styleId="llb">
    <w:name w:val="footer"/>
    <w:basedOn w:val="Norml"/>
    <w:link w:val="llbChar"/>
    <w:uiPriority w:val="99"/>
    <w:unhideWhenUsed/>
    <w:rsid w:val="00936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36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5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4634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328410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085103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27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434537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84451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95607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7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48701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5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1174</Words>
  <Characters>8106</Characters>
  <Application>Microsoft Office Word</Application>
  <DocSecurity>0</DocSecurity>
  <Lines>67</Lines>
  <Paragraphs>18</Paragraphs>
  <ScaleCrop>false</ScaleCrop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dc:description/>
  <cp:lastModifiedBy>Mónika Kissné Simon</cp:lastModifiedBy>
  <cp:revision>2</cp:revision>
  <dcterms:created xsi:type="dcterms:W3CDTF">2026-10-12T12:36:00Z</dcterms:created>
  <dcterms:modified xsi:type="dcterms:W3CDTF">2026-10-12T12:36:00Z</dcterms:modified>
</cp:coreProperties>
</file>